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
        <w:drawing>
          <wp:inline xmlns:a="http://schemas.openxmlformats.org/drawingml/2006/main" xmlns:pic="http://schemas.openxmlformats.org/drawingml/2006/picture">
            <wp:extent cx="1584000" cy="248160"/>
            <wp:docPr id="1" name="Picture 1"/>
            <wp:cNvGraphicFramePr>
              <a:graphicFrameLocks noChangeAspect="1"/>
            </wp:cNvGraphicFramePr>
            <a:graphic>
              <a:graphicData uri="http://schemas.openxmlformats.org/drawingml/2006/picture">
                <pic:pic>
                  <pic:nvPicPr>
                    <pic:cNvPr id="0" name="11-Emote-Complex-Website-Project-Brief-Template-v1.2_image2.png"/>
                    <pic:cNvPicPr/>
                  </pic:nvPicPr>
                  <pic:blipFill>
                    <a:blip r:embed="rId11"/>
                    <a:stretch>
                      <a:fillRect/>
                    </a:stretch>
                  </pic:blipFill>
                  <pic:spPr>
                    <a:xfrm>
                      <a:off x="0" y="0"/>
                      <a:ext cx="1584000" cy="248160"/>
                    </a:xfrm>
                    <a:prstGeom prst="rect"/>
                  </pic:spPr>
                </pic:pic>
              </a:graphicData>
            </a:graphic>
          </wp:inline>
        </w:drawing>
      </w:r>
    </w:p>
    <w:p>
      <w:pPr>
        <w:pStyle w:val="Eyebrow"/>
        <w:spacing w:before="840"/>
      </w:pPr>
      <w:r>
        <w:t>CLIENT PROJECT BRIEF</w:t>
      </w:r>
    </w:p>
    <w:p>
      <w:pPr>
        <w:pStyle w:val="Title"/>
      </w:pPr>
      <w:r>
        <w:t>Digital marketing</w:t>
        <w:br/>
        <w:t>project brief.</w:t>
      </w:r>
    </w:p>
    <w:p>
      <w:r>
        <w:t>A common brief with selected service modules and complexity supplements for a proportionate scope assessment.</w:t>
      </w:r>
    </w:p>
    <w:p>
      <w:pPr>
        <w:pStyle w:val="Heading2"/>
      </w:pPr>
      <w:r>
        <w:t>Clarity before commitment.</w:t>
      </w:r>
    </w:p>
    <w:p>
      <w:pPr>
        <w:pStyle w:val="Hint"/>
      </w:pPr>
      <w:r>
        <w:t>Version 2.0 | September 2026</w:t>
      </w:r>
    </w:p>
    <w:tbl>
      <w:tblPr>
        <w:tblW w:type="auto" w:w="0"/>
        <w:jc w:val="center"/>
        <w:tblLayout w:type="fixed"/>
        <w:tblLook w:firstColumn="1" w:firstRow="1" w:lastColumn="0" w:lastRow="0" w:noHBand="0" w:noVBand="1" w:val="04A0"/>
      </w:tblPr>
      <w:tblGrid>
        <w:gridCol w:w="3458"/>
        <w:gridCol w:w="6180"/>
      </w:tblGrid>
      <w:tr>
        <w:trPr>
          <w:tblHeader/>
          <w:cantSplit/>
        </w:trPr>
        <w:tc>
          <w:tcPr>
            <w:tcW w:type="dxa" w:w="345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Project information</w:t>
            </w:r>
          </w:p>
        </w:tc>
        <w:tc>
          <w:tcPr>
            <w:tcW w:type="dxa" w:w="6180"/>
            <w:shd w:fill="DCEDE6"/>
            <w:tcMar>
              <w:top w:w="80" w:type="dxa"/>
              <w:left w:w="80" w:type="dxa"/>
              <w:bottom w:w="80" w:type="dxa"/>
              <w:right w:w="80" w:type="dxa"/>
            </w:tcMar>
            <w:tcBorders>
              <w:bottom w:val="single" w:sz="4" w:color="E0E0DC"/>
            </w:tcBorders>
          </w:tcPr>
          <w:p>
            <w:r>
              <w:rPr>
                <w:rFonts w:ascii="Apercu" w:hAnsi="Apercu" w:eastAsia="Apercu"/>
                <w:b/>
                <w:color w:val="191919"/>
                <w:sz w:val="18"/>
              </w:rPr>
              <w:t>Complete for this engagement</w:t>
            </w:r>
          </w:p>
        </w:tc>
      </w:tr>
      <w:tr>
        <w:trPr>
          <w:cantSplit/>
        </w:trPr>
        <w:tc>
          <w:tcPr>
            <w:tcW w:type="dxa" w:w="345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Organisation / project</w:t>
            </w:r>
          </w:p>
        </w:tc>
        <w:tc>
          <w:tcPr>
            <w:tcW w:type="dxa" w:w="618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[Enter name.]</w:t>
            </w:r>
          </w:p>
        </w:tc>
      </w:tr>
      <w:tr>
        <w:trPr>
          <w:cantSplit/>
        </w:trPr>
        <w:tc>
          <w:tcPr>
            <w:tcW w:type="dxa" w:w="345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Contact / role / email / phone</w:t>
            </w:r>
          </w:p>
        </w:tc>
        <w:tc>
          <w:tcPr>
            <w:tcW w:type="dxa" w:w="618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[Enter details.]</w:t>
            </w:r>
          </w:p>
        </w:tc>
      </w:tr>
      <w:tr>
        <w:trPr>
          <w:cantSplit/>
        </w:trPr>
        <w:tc>
          <w:tcPr>
            <w:tcW w:type="dxa" w:w="345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Date / copy version</w:t>
            </w:r>
          </w:p>
        </w:tc>
        <w:tc>
          <w:tcPr>
            <w:tcW w:type="dxa" w:w="618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[Enter date and version.]</w:t>
            </w:r>
          </w:p>
        </w:tc>
      </w:tr>
      <w:tr>
        <w:trPr>
          <w:cantSplit/>
        </w:trPr>
        <w:tc>
          <w:tcPr>
            <w:tcW w:type="dxa" w:w="345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Return to / due date / time zone</w:t>
            </w:r>
          </w:p>
        </w:tc>
        <w:tc>
          <w:tcPr>
            <w:tcW w:type="dxa" w:w="6180"/>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[Emote contact to complete before issue.]</w:t>
            </w:r>
          </w:p>
        </w:tc>
      </w:tr>
    </w:tbl>
    <w:p>
      <w:pPr>
        <w:spacing w:after="40"/>
      </w:pPr>
      <w:r/>
    </w:p>
    <w:p>
      <w:pPr>
        <w:pStyle w:val="Heading2"/>
      </w:pPr>
      <w:r>
        <w:t>How to complete.</w:t>
      </w:r>
    </w:p>
    <w:p>
      <w:r>
        <w:t>Use short answers and existing document references. This document expands as you type. Obtain known facts and available records from your team and vendors; you do not need to invent a technical solution. Write “Please recommend” for a decision you want Emote to help make. For an unknown fact, identify its owner and expected confirmation date. Mark irrelevant items “Not applicable”.</w:t>
      </w:r>
    </w:p>
    <w:p>
      <w:pPr>
        <w:pStyle w:val="Hint"/>
      </w:pPr>
      <w:r>
        <w:t>Use a separate project copy. The completed copy is confidential. Confirm availability of access and sensitive records only; do not enter credentials, source code or live customer data. Agree secure access and any confidentiality arrangements with Emote when required.</w:t>
      </w:r>
    </w:p>
    <w:p>
      <w:pPr>
        <w:pStyle w:val="Eyebrow"/>
        <w:pageBreakBefore/>
      </w:pPr>
      <w:r>
        <w:t>CORE 01 | BUSINESS AND GOALS</w:t>
      </w:r>
    </w:p>
    <w:p>
      <w:pPr>
        <w:pStyle w:val="Heading1"/>
      </w:pPr>
      <w:r>
        <w:t>Define the commercial priority.</w:t>
      </w:r>
    </w:p>
    <w:p>
      <w:pPr>
        <w:pStyle w:val="Heading2"/>
        <w:spacing w:before="160" w:after="60"/>
      </w:pPr>
      <w:r>
        <w:t>Describe the organisation and why support is needed now.</w:t>
      </w:r>
    </w:p>
    <w:p>
      <w:pPr>
        <w:pStyle w:val="Hint"/>
        <w:keepNext/>
      </w:pPr>
      <w:r>
        <w:t>Include business/revenue model, offers, websites, markets, points of difference and available proof.</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tbl>
      <w:tblPr>
        <w:tblW w:type="auto" w:w="0"/>
        <w:jc w:val="center"/>
        <w:tblLayout w:type="fixed"/>
        <w:tblLook w:firstColumn="1" w:firstRow="1" w:lastColumn="0" w:lastRow="0" w:noHBand="0" w:noVBand="1" w:val="04A0"/>
      </w:tblPr>
      <w:tblGrid>
        <w:gridCol w:w="2835"/>
        <w:gridCol w:w="3402"/>
        <w:gridCol w:w="3402"/>
      </w:tblGrid>
      <w:tr>
        <w:trPr>
          <w:tblHeader/>
          <w:cantSplit/>
        </w:trPr>
        <w:tc>
          <w:tcPr>
            <w:tcW w:type="dxa" w:w="2835"/>
            <w:shd w:fill="DCEDE6"/>
            <w:tcMar>
              <w:top w:w="80" w:type="dxa"/>
              <w:left w:w="80" w:type="dxa"/>
              <w:bottom w:w="80" w:type="dxa"/>
              <w:right w:w="80" w:type="dxa"/>
            </w:tcMar>
            <w:tcBorders>
              <w:bottom w:val="single" w:sz="4" w:color="E0E0DC"/>
            </w:tcBorders>
          </w:tcPr>
          <w:p>
            <w:r>
              <w:rPr>
                <w:rFonts w:ascii="Apercu" w:hAnsi="Apercu" w:eastAsia="Apercu"/>
                <w:b/>
                <w:color w:val="191919"/>
                <w:sz w:val="18"/>
              </w:rPr>
              <w:t>Priority outcome</w:t>
            </w:r>
          </w:p>
        </w:tc>
        <w:tc>
          <w:tcPr>
            <w:tcW w:type="dxa" w:w="3402"/>
            <w:shd w:fill="DCEDE6"/>
            <w:tcMar>
              <w:top w:w="80" w:type="dxa"/>
              <w:left w:w="80" w:type="dxa"/>
              <w:bottom w:w="80" w:type="dxa"/>
              <w:right w:w="80" w:type="dxa"/>
            </w:tcMar>
            <w:tcBorders>
              <w:bottom w:val="single" w:sz="4" w:color="E0E0DC"/>
            </w:tcBorders>
          </w:tcPr>
          <w:p>
            <w:r>
              <w:rPr>
                <w:rFonts w:ascii="Apercu" w:hAnsi="Apercu" w:eastAsia="Apercu"/>
                <w:b/>
                <w:color w:val="191919"/>
                <w:sz w:val="18"/>
              </w:rPr>
              <w:t>Baseline / target / period</w:t>
            </w:r>
          </w:p>
        </w:tc>
        <w:tc>
          <w:tcPr>
            <w:tcW w:type="dxa" w:w="3402"/>
            <w:shd w:fill="DCEDE6"/>
            <w:tcMar>
              <w:top w:w="80" w:type="dxa"/>
              <w:left w:w="80" w:type="dxa"/>
              <w:bottom w:w="80" w:type="dxa"/>
              <w:right w:w="80" w:type="dxa"/>
            </w:tcMar>
            <w:tcBorders>
              <w:bottom w:val="single" w:sz="4" w:color="E0E0DC"/>
            </w:tcBorders>
          </w:tcPr>
          <w:p>
            <w:r>
              <w:rPr>
                <w:rFonts w:ascii="Apercu" w:hAnsi="Apercu" w:eastAsia="Apercu"/>
                <w:b/>
                <w:color w:val="191919"/>
                <w:sz w:val="18"/>
              </w:rPr>
              <w:t>Conversion and value</w:t>
            </w:r>
          </w:p>
        </w:tc>
      </w:tr>
      <w:tr>
        <w:trPr>
          <w:cantSplit/>
        </w:trPr>
        <w:tc>
          <w:tcPr>
            <w:tcW w:type="dxa" w:w="283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[Outcome.]</w:t>
            </w:r>
          </w:p>
        </w:tc>
        <w:tc>
          <w:tcPr>
            <w:tcW w:type="dxa" w:w="340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[Current and desired measure.]</w:t>
            </w:r>
          </w:p>
        </w:tc>
        <w:tc>
          <w:tcPr>
            <w:tcW w:type="dxa" w:w="340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[Enquiry, sale, renewal or other; value if known.]</w:t>
            </w:r>
          </w:p>
        </w:tc>
      </w:tr>
      <w:tr>
        <w:trPr>
          <w:cantSplit/>
        </w:trPr>
        <w:tc>
          <w:tcPr>
            <w:tcW w:type="dxa" w:w="283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[Outcome.]</w:t>
            </w:r>
          </w:p>
        </w:tc>
        <w:tc>
          <w:tcPr>
            <w:tcW w:type="dxa" w:w="340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[Current and desired measure.]</w:t>
            </w:r>
          </w:p>
        </w:tc>
        <w:tc>
          <w:tcPr>
            <w:tcW w:type="dxa" w:w="340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[Enquiry, sale, renewal or other; value if known.]</w:t>
            </w:r>
          </w:p>
        </w:tc>
      </w:tr>
      <w:tr>
        <w:trPr>
          <w:cantSplit/>
        </w:trPr>
        <w:tc>
          <w:tcPr>
            <w:tcW w:type="dxa" w:w="283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[Outcome.]</w:t>
            </w:r>
          </w:p>
        </w:tc>
        <w:tc>
          <w:tcPr>
            <w:tcW w:type="dxa" w:w="340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[Current and desired measure.]</w:t>
            </w:r>
          </w:p>
        </w:tc>
        <w:tc>
          <w:tcPr>
            <w:tcW w:type="dxa" w:w="340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[Enquiry, sale, renewal or other; value if known.]</w:t>
            </w:r>
          </w:p>
        </w:tc>
      </w:tr>
    </w:tbl>
    <w:p>
      <w:pPr>
        <w:spacing w:after="40"/>
      </w:pPr>
      <w:r/>
    </w:p>
    <w:p>
      <w:pPr>
        <w:pStyle w:val="Heading2"/>
        <w:spacing w:before="160" w:after="60"/>
      </w:pPr>
      <w:r>
        <w:t>Who are the priority audiences, and what should they do?</w:t>
      </w:r>
    </w:p>
    <w:p>
      <w:pPr>
        <w:pStyle w:val="Hint"/>
        <w:keepNext/>
      </w:pPr>
      <w:r>
        <w:t>Describe their needs, barriers, journey, current customer knowledge and audience exclusions.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is fixed, and what should Emote recommend?</w:t>
      </w:r>
    </w:p>
    <w:p>
      <w:pPr>
        <w:pStyle w:val="Hint"/>
        <w:keepNext/>
      </w:pPr>
      <w:r>
        <w:t>Identify mandatory or excluded channels, products, audiences, markets and constraints.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CORE 02 | SELECTED SCOPE</w:t>
      </w:r>
    </w:p>
    <w:p>
      <w:pPr>
        <w:pStyle w:val="Heading1"/>
      </w:pPr>
      <w:r>
        <w:t>Choose the relevant services.</w:t>
      </w:r>
    </w:p>
    <w:p>
      <w:r>
        <w:t>Complete the core once. Complete only the service modules and supplements selected for this project. A selection records your current needs, not an agreed strategy or deliverable. Write Please recommend if the appropriate mix is undecided.</w:t>
      </w:r>
    </w:p>
    <w:tbl>
      <w:tblPr>
        <w:tblW w:type="auto" w:w="0"/>
        <w:jc w:val="center"/>
        <w:tblLayout w:type="fixed"/>
        <w:tblLook w:firstColumn="1" w:firstRow="1" w:lastColumn="0" w:lastRow="0" w:noHBand="0" w:noVBand="1" w:val="04A0"/>
      </w:tblPr>
      <w:tblGrid>
        <w:gridCol w:w="4932"/>
        <w:gridCol w:w="4706"/>
      </w:tblGrid>
      <w:tr>
        <w:trPr>
          <w:tblHeader/>
          <w:cantSplit/>
        </w:trPr>
        <w:tc>
          <w:tcPr>
            <w:tcW w:type="dxa" w:w="4932"/>
            <w:shd w:fill="DCEDE6"/>
            <w:tcMar>
              <w:top w:w="40" w:type="dxa"/>
              <w:left w:w="40" w:type="dxa"/>
              <w:bottom w:w="40" w:type="dxa"/>
              <w:right w:w="40" w:type="dxa"/>
            </w:tcMar>
            <w:tcBorders>
              <w:bottom w:val="single" w:sz="4" w:color="E0E0DC"/>
            </w:tcBorders>
          </w:tcPr>
          <w:p>
            <w:pPr>
              <w:spacing w:before="20" w:after="20" w:line="264" w:lineRule="auto"/>
            </w:pPr>
            <w:r>
              <w:rPr>
                <w:rFonts w:ascii="Apercu" w:hAnsi="Apercu" w:eastAsia="Apercu"/>
                <w:b/>
                <w:color w:val="191919"/>
                <w:sz w:val="18"/>
              </w:rPr>
              <w:t>Service module</w:t>
            </w:r>
          </w:p>
        </w:tc>
        <w:tc>
          <w:tcPr>
            <w:tcW w:type="dxa" w:w="4706"/>
            <w:shd w:fill="DCEDE6"/>
            <w:tcMar>
              <w:top w:w="40" w:type="dxa"/>
              <w:left w:w="40" w:type="dxa"/>
              <w:bottom w:w="40" w:type="dxa"/>
              <w:right w:w="40" w:type="dxa"/>
            </w:tcMar>
            <w:tcBorders>
              <w:bottom w:val="single" w:sz="4" w:color="E0E0DC"/>
            </w:tcBorders>
          </w:tcPr>
          <w:p>
            <w:pPr>
              <w:spacing w:before="20" w:after="20" w:line="264" w:lineRule="auto"/>
            </w:pPr>
            <w:r>
              <w:rPr>
                <w:rFonts w:ascii="Apercu" w:hAnsi="Apercu" w:eastAsia="Apercu"/>
                <w:b/>
                <w:color w:val="191919"/>
                <w:sz w:val="18"/>
              </w:rPr>
              <w:t>Use / priority / new or existing</w:t>
            </w:r>
          </w:p>
        </w:tc>
      </w:tr>
      <w:tr>
        <w:trPr>
          <w:cantSplit/>
        </w:trPr>
        <w:tc>
          <w:tcPr>
            <w:tcW w:type="dxa" w:w="4932"/>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SEO | Search engine optimisation</w:t>
            </w:r>
          </w:p>
        </w:tc>
        <w:tc>
          <w:tcPr>
            <w:tcW w:type="dxa" w:w="4706"/>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[Use / priority / current status.]</w:t>
            </w:r>
          </w:p>
        </w:tc>
      </w:tr>
      <w:tr>
        <w:trPr>
          <w:cantSplit/>
        </w:trPr>
        <w:tc>
          <w:tcPr>
            <w:tcW w:type="dxa" w:w="4932"/>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SEA | Search engine advertising</w:t>
            </w:r>
          </w:p>
        </w:tc>
        <w:tc>
          <w:tcPr>
            <w:tcW w:type="dxa" w:w="4706"/>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[Use / priority / current status.]</w:t>
            </w:r>
          </w:p>
        </w:tc>
      </w:tr>
      <w:tr>
        <w:trPr>
          <w:cantSplit/>
        </w:trPr>
        <w:tc>
          <w:tcPr>
            <w:tcW w:type="dxa" w:w="4932"/>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SMA | Social media advertising</w:t>
            </w:r>
          </w:p>
        </w:tc>
        <w:tc>
          <w:tcPr>
            <w:tcW w:type="dxa" w:w="4706"/>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[Use / priority / current status.]</w:t>
            </w:r>
          </w:p>
        </w:tc>
      </w:tr>
      <w:tr>
        <w:trPr>
          <w:cantSplit/>
        </w:trPr>
        <w:tc>
          <w:tcPr>
            <w:tcW w:type="dxa" w:w="4932"/>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SMM | Social media management</w:t>
            </w:r>
          </w:p>
        </w:tc>
        <w:tc>
          <w:tcPr>
            <w:tcW w:type="dxa" w:w="4706"/>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[Use / priority / current status.]</w:t>
            </w:r>
          </w:p>
        </w:tc>
      </w:tr>
      <w:tr>
        <w:trPr>
          <w:cantSplit/>
        </w:trPr>
        <w:tc>
          <w:tcPr>
            <w:tcW w:type="dxa" w:w="4932"/>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PLA | Platform advertising</w:t>
            </w:r>
          </w:p>
        </w:tc>
        <w:tc>
          <w:tcPr>
            <w:tcW w:type="dxa" w:w="4706"/>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[Use / priority / current status.]</w:t>
            </w:r>
          </w:p>
        </w:tc>
      </w:tr>
      <w:tr>
        <w:trPr>
          <w:cantSplit/>
        </w:trPr>
        <w:tc>
          <w:tcPr>
            <w:tcW w:type="dxa" w:w="4932"/>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EMA | Email marketing</w:t>
            </w:r>
          </w:p>
        </w:tc>
        <w:tc>
          <w:tcPr>
            <w:tcW w:type="dxa" w:w="4706"/>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[Use / priority / current status.]</w:t>
            </w:r>
          </w:p>
        </w:tc>
      </w:tr>
      <w:tr>
        <w:trPr>
          <w:cantSplit/>
        </w:trPr>
        <w:tc>
          <w:tcPr>
            <w:tcW w:type="dxa" w:w="4932"/>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INF | Influencer marketing</w:t>
            </w:r>
          </w:p>
        </w:tc>
        <w:tc>
          <w:tcPr>
            <w:tcW w:type="dxa" w:w="4706"/>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[Use / priority / current status.]</w:t>
            </w:r>
          </w:p>
        </w:tc>
      </w:tr>
      <w:tr>
        <w:trPr>
          <w:cantSplit/>
        </w:trPr>
        <w:tc>
          <w:tcPr>
            <w:tcW w:type="dxa" w:w="4932"/>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CON | Content writing</w:t>
            </w:r>
          </w:p>
        </w:tc>
        <w:tc>
          <w:tcPr>
            <w:tcW w:type="dxa" w:w="4706"/>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[Use / priority / current status.]</w:t>
            </w:r>
          </w:p>
        </w:tc>
      </w:tr>
    </w:tbl>
    <w:p>
      <w:pPr>
        <w:spacing w:after="40"/>
      </w:pPr>
      <w:r/>
    </w:p>
    <w:tbl>
      <w:tblPr>
        <w:tblW w:type="auto" w:w="0"/>
        <w:jc w:val="center"/>
        <w:tblLayout w:type="fixed"/>
        <w:tblLook w:firstColumn="1" w:firstRow="1" w:lastColumn="0" w:lastRow="0" w:noHBand="0" w:noVBand="1" w:val="04A0"/>
      </w:tblPr>
      <w:tblGrid>
        <w:gridCol w:w="7087"/>
        <w:gridCol w:w="2551"/>
      </w:tblGrid>
      <w:tr>
        <w:trPr>
          <w:tblHeader/>
          <w:cantSplit/>
        </w:trPr>
        <w:tc>
          <w:tcPr>
            <w:tcW w:type="dxa" w:w="7087"/>
            <w:shd w:fill="DCEDE6"/>
            <w:tcMar>
              <w:top w:w="40" w:type="dxa"/>
              <w:left w:w="40" w:type="dxa"/>
              <w:bottom w:w="40" w:type="dxa"/>
              <w:right w:w="40" w:type="dxa"/>
            </w:tcMar>
            <w:tcBorders>
              <w:bottom w:val="single" w:sz="4" w:color="E0E0DC"/>
            </w:tcBorders>
          </w:tcPr>
          <w:p>
            <w:pPr>
              <w:spacing w:before="20" w:after="20" w:line="264" w:lineRule="auto"/>
            </w:pPr>
            <w:r>
              <w:rPr>
                <w:rFonts w:ascii="Apercu" w:hAnsi="Apercu" w:eastAsia="Apercu"/>
                <w:b/>
                <w:color w:val="191919"/>
                <w:sz w:val="18"/>
              </w:rPr>
              <w:t>Complexity supplement</w:t>
            </w:r>
          </w:p>
        </w:tc>
        <w:tc>
          <w:tcPr>
            <w:tcW w:type="dxa" w:w="2551"/>
            <w:shd w:fill="DCEDE6"/>
            <w:tcMar>
              <w:top w:w="40" w:type="dxa"/>
              <w:left w:w="40" w:type="dxa"/>
              <w:bottom w:w="40" w:type="dxa"/>
              <w:right w:w="40" w:type="dxa"/>
            </w:tcMar>
            <w:tcBorders>
              <w:bottom w:val="single" w:sz="4" w:color="E0E0DC"/>
            </w:tcBorders>
          </w:tcPr>
          <w:p>
            <w:pPr>
              <w:spacing w:before="20" w:after="20" w:line="264" w:lineRule="auto"/>
            </w:pPr>
            <w:r>
              <w:rPr>
                <w:rFonts w:ascii="Apercu" w:hAnsi="Apercu" w:eastAsia="Apercu"/>
                <w:b/>
                <w:color w:val="191919"/>
                <w:sz w:val="18"/>
              </w:rPr>
              <w:t>Applies?</w:t>
            </w:r>
          </w:p>
        </w:tc>
      </w:tr>
      <w:tr>
        <w:trPr>
          <w:cantSplit/>
        </w:trPr>
        <w:tc>
          <w:tcPr>
            <w:tcW w:type="dxa" w:w="7087"/>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A | Ecommerce and product feeds</w:t>
            </w:r>
          </w:p>
        </w:tc>
        <w:tc>
          <w:tcPr>
            <w:tcW w:type="dxa" w:w="2551"/>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[Yes / No / Unsure.]</w:t>
            </w:r>
          </w:p>
        </w:tc>
      </w:tr>
      <w:tr>
        <w:trPr>
          <w:cantSplit/>
        </w:trPr>
        <w:tc>
          <w:tcPr>
            <w:tcW w:type="dxa" w:w="7087"/>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B | Lead generation and sales follow-up</w:t>
            </w:r>
          </w:p>
        </w:tc>
        <w:tc>
          <w:tcPr>
            <w:tcW w:type="dxa" w:w="2551"/>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[Yes / No / Unsure.]</w:t>
            </w:r>
          </w:p>
        </w:tc>
      </w:tr>
      <w:tr>
        <w:trPr>
          <w:cantSplit/>
        </w:trPr>
        <w:tc>
          <w:tcPr>
            <w:tcW w:type="dxa" w:w="7087"/>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C | Multiple brands, locations and markets</w:t>
            </w:r>
          </w:p>
        </w:tc>
        <w:tc>
          <w:tcPr>
            <w:tcW w:type="dxa" w:w="2551"/>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[Yes / No / Unsure.]</w:t>
            </w:r>
          </w:p>
        </w:tc>
      </w:tr>
      <w:tr>
        <w:trPr>
          <w:cantSplit/>
        </w:trPr>
        <w:tc>
          <w:tcPr>
            <w:tcW w:type="dxa" w:w="7087"/>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D | Regulated activity, approvals and privacy</w:t>
            </w:r>
          </w:p>
        </w:tc>
        <w:tc>
          <w:tcPr>
            <w:tcW w:type="dxa" w:w="2551"/>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[Yes / No / Unsure.]</w:t>
            </w:r>
          </w:p>
        </w:tc>
      </w:tr>
      <w:tr>
        <w:trPr>
          <w:cantSplit/>
        </w:trPr>
        <w:tc>
          <w:tcPr>
            <w:tcW w:type="dxa" w:w="7087"/>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E | Creative and content production</w:t>
            </w:r>
          </w:p>
        </w:tc>
        <w:tc>
          <w:tcPr>
            <w:tcW w:type="dxa" w:w="2551"/>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[Yes / No / Unsure.]</w:t>
            </w:r>
          </w:p>
        </w:tc>
      </w:tr>
      <w:tr>
        <w:trPr>
          <w:cantSplit/>
        </w:trPr>
        <w:tc>
          <w:tcPr>
            <w:tcW w:type="dxa" w:w="7087"/>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F | Incumbent provider and account transition</w:t>
            </w:r>
          </w:p>
        </w:tc>
        <w:tc>
          <w:tcPr>
            <w:tcW w:type="dxa" w:w="2551"/>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[Yes / No / Unsure.]</w:t>
            </w:r>
          </w:p>
        </w:tc>
      </w:tr>
      <w:tr>
        <w:trPr>
          <w:cantSplit/>
        </w:trPr>
        <w:tc>
          <w:tcPr>
            <w:tcW w:type="dxa" w:w="7087"/>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191919"/>
                <w:sz w:val="19"/>
              </w:rPr>
              <w:t>G | Tracking, CRM, data and integrations</w:t>
            </w:r>
          </w:p>
        </w:tc>
        <w:tc>
          <w:tcPr>
            <w:tcW w:type="dxa" w:w="2551"/>
            <w:vAlign w:val="top"/>
            <w:tcMar>
              <w:top w:w="40" w:type="dxa"/>
              <w:left w:w="40" w:type="dxa"/>
              <w:bottom w:w="40" w:type="dxa"/>
              <w:right w:w="40" w:type="dxa"/>
            </w:tcMar>
            <w:tcBorders>
              <w:bottom w:val="single" w:sz="4" w:color="E0E0DC"/>
            </w:tcBorders>
          </w:tcPr>
          <w:p>
            <w:pPr>
              <w:spacing w:after="20" w:before="20" w:line="264" w:lineRule="auto"/>
            </w:pPr>
            <w:r>
              <w:rPr>
                <w:rFonts w:ascii="Apercu" w:hAnsi="Apercu" w:eastAsia="Apercu"/>
                <w:b w:val="0"/>
                <w:color w:val="545454"/>
                <w:sz w:val="19"/>
              </w:rPr>
              <w:t>[Yes / No / Unsure.]</w:t>
            </w:r>
          </w:p>
        </w:tc>
      </w:tr>
    </w:tbl>
    <w:p>
      <w:pPr>
        <w:spacing w:after="40"/>
      </w:pPr>
      <w:r/>
    </w:p>
    <w:p>
      <w:pPr>
        <w:pStyle w:val="Hint"/>
      </w:pPr>
      <w:r>
        <w:t>Reference this core in the selected modules. Add only service-specific differences to budgets, dates, objectives, access and approvals.</w:t>
      </w:r>
    </w:p>
    <w:p>
      <w:pPr>
        <w:pStyle w:val="Eyebrow"/>
        <w:pageBreakBefore/>
      </w:pPr>
      <w:r>
        <w:t>CORE 03 | READINESS AND RESPONSIBILITIES</w:t>
      </w:r>
    </w:p>
    <w:p>
      <w:pPr>
        <w:pStyle w:val="Heading1"/>
      </w:pPr>
      <w:r>
        <w:t>Establish what is available.</w:t>
      </w:r>
    </w:p>
    <w:p>
      <w:pPr>
        <w:pStyle w:val="Heading2"/>
        <w:spacing w:before="160" w:after="60"/>
      </w:pPr>
      <w:r>
        <w:t>What activity, results and lessons already exist?</w:t>
      </w:r>
    </w:p>
    <w:p>
      <w:pPr>
        <w:pStyle w:val="Hint"/>
        <w:keepNext/>
      </w:pPr>
      <w:r>
        <w:t>Reference current/past services, providers, media activity, useful reports and known performance limitations. Existing records are sufficient; no new audit or strategy is requested.</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tbl>
      <w:tblPr>
        <w:tblW w:type="auto" w:w="0"/>
        <w:jc w:val="center"/>
        <w:tblLayout w:type="fixed"/>
        <w:tblLook w:firstColumn="1" w:firstRow="1" w:lastColumn="0" w:lastRow="0" w:noHBand="0" w:noVBand="1" w:val="04A0"/>
      </w:tblPr>
      <w:tblGrid>
        <w:gridCol w:w="3231"/>
        <w:gridCol w:w="3175"/>
        <w:gridCol w:w="3231"/>
      </w:tblGrid>
      <w:tr>
        <w:trPr>
          <w:tblHeader/>
          <w:cantSplit/>
        </w:trPr>
        <w:tc>
          <w:tcPr>
            <w:tcW w:type="dxa" w:w="3231"/>
            <w:shd w:fill="DCEDE6"/>
            <w:tcMar>
              <w:top w:w="80" w:type="dxa"/>
              <w:left w:w="80" w:type="dxa"/>
              <w:bottom w:w="80" w:type="dxa"/>
              <w:right w:w="80" w:type="dxa"/>
            </w:tcMar>
            <w:tcBorders>
              <w:bottom w:val="single" w:sz="4" w:color="E0E0DC"/>
            </w:tcBorders>
          </w:tcPr>
          <w:p>
            <w:r>
              <w:rPr>
                <w:rFonts w:ascii="Apercu" w:hAnsi="Apercu" w:eastAsia="Apercu"/>
                <w:b/>
                <w:color w:val="191919"/>
                <w:sz w:val="18"/>
              </w:rPr>
              <w:t>Platform / account / asset</w:t>
            </w:r>
          </w:p>
        </w:tc>
        <w:tc>
          <w:tcPr>
            <w:tcW w:type="dxa" w:w="3175"/>
            <w:shd w:fill="DCEDE6"/>
            <w:tcMar>
              <w:top w:w="80" w:type="dxa"/>
              <w:left w:w="80" w:type="dxa"/>
              <w:bottom w:w="80" w:type="dxa"/>
              <w:right w:w="80" w:type="dxa"/>
            </w:tcMar>
            <w:tcBorders>
              <w:bottom w:val="single" w:sz="4" w:color="E0E0DC"/>
            </w:tcBorders>
          </w:tcPr>
          <w:p>
            <w:r>
              <w:rPr>
                <w:rFonts w:ascii="Apercu" w:hAnsi="Apercu" w:eastAsia="Apercu"/>
                <w:b/>
                <w:color w:val="191919"/>
                <w:sz w:val="18"/>
              </w:rPr>
              <w:t>Owner / access status</w:t>
            </w:r>
          </w:p>
        </w:tc>
        <w:tc>
          <w:tcPr>
            <w:tcW w:type="dxa" w:w="3231"/>
            <w:shd w:fill="DCEDE6"/>
            <w:tcMar>
              <w:top w:w="80" w:type="dxa"/>
              <w:left w:w="80" w:type="dxa"/>
              <w:bottom w:w="80" w:type="dxa"/>
              <w:right w:w="80" w:type="dxa"/>
            </w:tcMar>
            <w:tcBorders>
              <w:bottom w:val="single" w:sz="4" w:color="E0E0DC"/>
            </w:tcBorders>
          </w:tcPr>
          <w:p>
            <w:r>
              <w:rPr>
                <w:rFonts w:ascii="Apercu" w:hAnsi="Apercu" w:eastAsia="Apercu"/>
                <w:b/>
                <w:color w:val="191919"/>
                <w:sz w:val="18"/>
              </w:rPr>
              <w:t>Evidence / known issue</w:t>
            </w:r>
          </w:p>
        </w:tc>
      </w:tr>
      <w:tr>
        <w:trPr>
          <w:cantSplit/>
        </w:trPr>
        <w:tc>
          <w:tcPr>
            <w:tcW w:type="dxa" w:w="323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[Website, advertising, social, email, analytics, CRM or content.]</w:t>
            </w:r>
          </w:p>
        </w:tc>
        <w:tc>
          <w:tcPr>
            <w:tcW w:type="dxa" w:w="317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[Legal owner and administrator; access availability.]</w:t>
            </w:r>
          </w:p>
        </w:tc>
        <w:tc>
          <w:tcPr>
            <w:tcW w:type="dxa" w:w="323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[Reference and known gap.]</w:t>
            </w:r>
          </w:p>
        </w:tc>
      </w:tr>
      <w:tr>
        <w:trPr>
          <w:cantSplit/>
        </w:trPr>
        <w:tc>
          <w:tcPr>
            <w:tcW w:type="dxa" w:w="323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[Website, advertising, social, email, analytics, CRM or content.]</w:t>
            </w:r>
          </w:p>
        </w:tc>
        <w:tc>
          <w:tcPr>
            <w:tcW w:type="dxa" w:w="317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[Legal owner and administrator; access availability.]</w:t>
            </w:r>
          </w:p>
        </w:tc>
        <w:tc>
          <w:tcPr>
            <w:tcW w:type="dxa" w:w="323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[Reference and known gap.]</w:t>
            </w:r>
          </w:p>
        </w:tc>
      </w:tr>
      <w:tr>
        <w:trPr>
          <w:cantSplit/>
        </w:trPr>
        <w:tc>
          <w:tcPr>
            <w:tcW w:type="dxa" w:w="323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[Website, advertising, social, email, analytics, CRM or content.]</w:t>
            </w:r>
          </w:p>
        </w:tc>
        <w:tc>
          <w:tcPr>
            <w:tcW w:type="dxa" w:w="3175"/>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[Legal owner and administrator; access availability.]</w:t>
            </w:r>
          </w:p>
        </w:tc>
        <w:tc>
          <w:tcPr>
            <w:tcW w:type="dxa" w:w="3231"/>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[Reference and known gap.]</w:t>
            </w:r>
          </w:p>
        </w:tc>
      </w:tr>
    </w:tbl>
    <w:p>
      <w:pPr>
        <w:spacing w:after="40"/>
      </w:pPr>
      <w:r/>
    </w:p>
    <w:p>
      <w:pPr>
        <w:pStyle w:val="Heading2"/>
        <w:spacing w:before="160" w:after="60"/>
      </w:pPr>
      <w:r>
        <w:t>Are the offer and conversion destinations ready?</w:t>
      </w:r>
    </w:p>
    <w:p>
      <w:pPr>
        <w:pStyle w:val="Hint"/>
        <w:keepNext/>
      </w:pPr>
      <w:r>
        <w:t>Identify pages, forms, calls, booking/checkout, stock or service capacity and follow-up ownership. State required website changes or dependencies.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approved brand, content and creative exist?</w:t>
      </w:r>
    </w:p>
    <w:p>
      <w:pPr>
        <w:pStyle w:val="Hint"/>
        <w:keepNext/>
      </w:pPr>
      <w:r>
        <w:t>Reference guidelines, voice, copy, images, video, templates, proof and rights. Identify supply, creation, upload and publishing owners; use E for production detail.</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Who reviews, approves and implements?</w:t>
      </w:r>
    </w:p>
    <w:p>
      <w:pPr>
        <w:pStyle w:val="Hint"/>
        <w:keepNext/>
      </w:pPr>
      <w:r>
        <w:t>Name the project owner, budget owner, feedback consolidator, specialist approvers, technical implementer and reporting recipients. Describe turnaround and internal capacity.</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CORE 04 | INVESTMENT AND TIMING</w:t>
      </w:r>
    </w:p>
    <w:p>
      <w:pPr>
        <w:pStyle w:val="Heading1"/>
      </w:pPr>
      <w:r>
        <w:t>Set a realistic scope boundary.</w:t>
      </w:r>
    </w:p>
    <w:tbl>
      <w:tblPr>
        <w:tblW w:type="auto" w:w="0"/>
        <w:jc w:val="center"/>
        <w:tblLayout w:type="fixed"/>
        <w:tblLook w:firstColumn="1" w:firstRow="1" w:lastColumn="0" w:lastRow="0" w:noHBand="0" w:noVBand="1" w:val="04A0"/>
      </w:tblPr>
      <w:tblGrid>
        <w:gridCol w:w="3458"/>
        <w:gridCol w:w="3742"/>
        <w:gridCol w:w="2438"/>
      </w:tblGrid>
      <w:tr>
        <w:trPr>
          <w:tblHeader/>
          <w:cantSplit/>
        </w:trPr>
        <w:tc>
          <w:tcPr>
            <w:tcW w:type="dxa" w:w="345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Investment category</w:t>
            </w:r>
          </w:p>
        </w:tc>
        <w:tc>
          <w:tcPr>
            <w:tcW w:type="dxa" w:w="3742"/>
            <w:shd w:fill="DCEDE6"/>
            <w:tcMar>
              <w:top w:w="80" w:type="dxa"/>
              <w:left w:w="80" w:type="dxa"/>
              <w:bottom w:w="80" w:type="dxa"/>
              <w:right w:w="80" w:type="dxa"/>
            </w:tcMar>
            <w:tcBorders>
              <w:bottom w:val="single" w:sz="4" w:color="E0E0DC"/>
            </w:tcBorders>
          </w:tcPr>
          <w:p>
            <w:r>
              <w:rPr>
                <w:rFonts w:ascii="Apercu" w:hAnsi="Apercu" w:eastAsia="Apercu"/>
                <w:b/>
                <w:color w:val="191919"/>
                <w:sz w:val="18"/>
              </w:rPr>
              <w:t>Amount / period / status</w:t>
            </w:r>
          </w:p>
        </w:tc>
        <w:tc>
          <w:tcPr>
            <w:tcW w:type="dxa" w:w="2438"/>
            <w:shd w:fill="DCEDE6"/>
            <w:tcMar>
              <w:top w:w="80" w:type="dxa"/>
              <w:left w:w="80" w:type="dxa"/>
              <w:bottom w:w="80" w:type="dxa"/>
              <w:right w:w="80" w:type="dxa"/>
            </w:tcMar>
            <w:tcBorders>
              <w:bottom w:val="single" w:sz="4" w:color="E0E0DC"/>
            </w:tcBorders>
          </w:tcPr>
          <w:p>
            <w:r>
              <w:rPr>
                <w:rFonts w:ascii="Apercu" w:hAnsi="Apercu" w:eastAsia="Apercu"/>
                <w:b/>
                <w:color w:val="191919"/>
                <w:sz w:val="18"/>
              </w:rPr>
              <w:t>Owner / allocation</w:t>
            </w:r>
          </w:p>
        </w:tc>
      </w:tr>
      <w:tr>
        <w:trPr>
          <w:cantSplit/>
        </w:trPr>
        <w:tc>
          <w:tcPr>
            <w:tcW w:type="dxa" w:w="345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Agency services</w:t>
            </w:r>
          </w:p>
        </w:tc>
        <w:tc>
          <w:tcPr>
            <w:tcW w:type="dxa" w:w="374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[Approved or provisional range.]</w:t>
            </w:r>
          </w:p>
        </w:tc>
        <w:tc>
          <w:tcPr>
            <w:tcW w:type="dxa" w:w="243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[Owner.]</w:t>
            </w:r>
          </w:p>
        </w:tc>
      </w:tr>
      <w:tr>
        <w:trPr>
          <w:cantSplit/>
        </w:trPr>
        <w:tc>
          <w:tcPr>
            <w:tcW w:type="dxa" w:w="345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Media spend</w:t>
            </w:r>
          </w:p>
        </w:tc>
        <w:tc>
          <w:tcPr>
            <w:tcW w:type="dxa" w:w="374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[Separate monthly/quarterly amount.]</w:t>
            </w:r>
          </w:p>
        </w:tc>
        <w:tc>
          <w:tcPr>
            <w:tcW w:type="dxa" w:w="243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[Platform/market split if fixed.]</w:t>
            </w:r>
          </w:p>
        </w:tc>
      </w:tr>
      <w:tr>
        <w:trPr>
          <w:cantSplit/>
        </w:trPr>
        <w:tc>
          <w:tcPr>
            <w:tcW w:type="dxa" w:w="345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Creator fees / production</w:t>
            </w:r>
          </w:p>
        </w:tc>
        <w:tc>
          <w:tcPr>
            <w:tcW w:type="dxa" w:w="374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[Separate allowance.]</w:t>
            </w:r>
          </w:p>
        </w:tc>
        <w:tc>
          <w:tcPr>
            <w:tcW w:type="dxa" w:w="243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[Owner.]</w:t>
            </w:r>
          </w:p>
        </w:tc>
      </w:tr>
      <w:tr>
        <w:trPr>
          <w:cantSplit/>
        </w:trPr>
        <w:tc>
          <w:tcPr>
            <w:tcW w:type="dxa" w:w="345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191919"/>
                <w:sz w:val="19"/>
              </w:rPr>
              <w:t>Technology / licences / specialist work</w:t>
            </w:r>
          </w:p>
        </w:tc>
        <w:tc>
          <w:tcPr>
            <w:tcW w:type="dxa" w:w="3742"/>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[Separate allowance.]</w:t>
            </w:r>
          </w:p>
        </w:tc>
        <w:tc>
          <w:tcPr>
            <w:tcW w:type="dxa" w:w="2438"/>
            <w:vAlign w:val="top"/>
            <w:tcMar>
              <w:top w:w="80" w:type="dxa"/>
              <w:left w:w="80" w:type="dxa"/>
              <w:bottom w:w="80" w:type="dxa"/>
              <w:right w:w="80" w:type="dxa"/>
            </w:tcMar>
            <w:tcBorders>
              <w:bottom w:val="single" w:sz="4" w:color="E0E0DC"/>
            </w:tcBorders>
          </w:tcPr>
          <w:p>
            <w:pPr>
              <w:spacing w:after="80" w:before="60" w:line="288" w:lineRule="auto"/>
            </w:pPr>
            <w:r>
              <w:rPr>
                <w:rFonts w:ascii="Apercu" w:hAnsi="Apercu" w:eastAsia="Apercu"/>
                <w:b w:val="0"/>
                <w:color w:val="545454"/>
                <w:sz w:val="19"/>
              </w:rPr>
              <w:t>[Owner.]</w:t>
            </w:r>
          </w:p>
        </w:tc>
      </w:tr>
    </w:tbl>
    <w:p>
      <w:pPr>
        <w:spacing w:after="40"/>
      </w:pPr>
      <w:r/>
    </w:p>
    <w:p>
      <w:pPr>
        <w:pStyle w:val="Heading2"/>
        <w:spacing w:before="160" w:after="60"/>
      </w:pPr>
      <w:r>
        <w:t>What dates and procurement requirements apply?</w:t>
      </w:r>
    </w:p>
    <w:p>
      <w:pPr>
        <w:pStyle w:val="Hint"/>
        <w:keepNext/>
      </w:pPr>
      <w:r>
        <w:t>State proposal, decision, commencement and fixed campaign/launch dates with reasons and time zones. Identify contract or handover dependencies and selection criteria.</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legal, privacy, policy or brand constraints apply?</w:t>
      </w:r>
    </w:p>
    <w:p>
      <w:pPr>
        <w:pStyle w:val="Hint"/>
        <w:keepNext/>
      </w:pPr>
      <w:r>
        <w:t>Reference current approved guidance, specialist approvers, claims, rights, sensitive audiences and prohibited activity. Complete D where formal restrictions apply.</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How should results and responsibilities be reviewed?</w:t>
      </w:r>
    </w:p>
    <w:p>
      <w:pPr>
        <w:pStyle w:val="Hint"/>
        <w:keepNext/>
      </w:pPr>
      <w:r>
        <w:t>State reporting measures, frequency, recipients and any existing review arrangements. Identify exclusions or work retained by others.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pPr>
      <w:r>
        <w:t>Commercial boundary.</w:t>
      </w:r>
    </w:p>
    <w:p>
      <w:pPr>
        <w:pStyle w:val="Hint"/>
      </w:pPr>
      <w:r>
        <w:t>Agency services, media spend, creator fees, production, licences and technical work must be distinguished in the proposal. Media spend is normally paid directly to platforms. This brief does not include free audits, strategy, campaign plans, creative development or technical implementation. The accepted paid proposal defines deliverables, service period, fees, responsibilities and exclusions.</w:t>
      </w:r>
    </w:p>
    <w:p>
      <w:pPr>
        <w:pStyle w:val="Eyebrow"/>
        <w:pageBreakBefore/>
      </w:pPr>
      <w:r>
        <w:t>SERVICE SEO | COMPLETE IF SELECTED</w:t>
      </w:r>
    </w:p>
    <w:p>
      <w:pPr>
        <w:pStyle w:val="Heading1"/>
      </w:pPr>
      <w:r>
        <w:t>Search engine optimisation.</w:t>
      </w:r>
    </w:p>
    <w:p>
      <w:r>
        <w:t>Known areas of interest: Technical, on-page, local, ecommerce, international, content, migration, authority or AI-assisted discovery visibility.</w:t>
      </w:r>
    </w:p>
    <w:p>
      <w:pPr>
        <w:pStyle w:val="Heading2"/>
        <w:spacing w:before="160" w:after="60"/>
      </w:pPr>
      <w:r>
        <w:t>What search activity and known issues exist?</w:t>
      </w:r>
    </w:p>
    <w:p>
      <w:pPr>
        <w:pStyle w:val="Hint"/>
        <w:keepNext/>
      </w:pPr>
      <w:r>
        <w:t>Reference current providers, reports and available research. List priority products, topics, search competitors and exclusions already known; no new audit or keyword research is requested.</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website changes or quantities affect the work?</w:t>
      </w:r>
    </w:p>
    <w:p>
      <w:pPr>
        <w:pStyle w:val="Hint"/>
        <w:keepNext/>
      </w:pPr>
      <w:r>
        <w:t>Include domains, pages, products, locations and languages, plus planned redesigns, migrations or URL changes.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Who implements website changes and publishes content?</w:t>
      </w:r>
    </w:p>
    <w:p>
      <w:pPr>
        <w:pStyle w:val="Hint"/>
        <w:keepNext/>
      </w:pPr>
      <w:r>
        <w:t>Identify technical and editorial owners; expected new/revised page quantities, approval and upload responsibilities; separate development or production allowance.</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differs from the core brief for this service?</w:t>
      </w:r>
    </w:p>
    <w:p>
      <w:pPr>
        <w:pStyle w:val="Hint"/>
        <w:keepNext/>
      </w:pPr>
      <w:r>
        <w:t>Reference core objectives, conversions, investment, dates and access. Add only service-specific constraints, policies or dependencies.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int"/>
      </w:pPr>
      <w:r>
        <w:t>Refer to the core and selected supplements for shared answers. If a fact is unknown, record its owner and expected confirmation date.</w:t>
      </w:r>
    </w:p>
    <w:p>
      <w:pPr>
        <w:pStyle w:val="Eyebrow"/>
        <w:pageBreakBefore/>
      </w:pPr>
      <w:r>
        <w:t>SERVICE SEA | COMPLETE IF SELECTED</w:t>
      </w:r>
    </w:p>
    <w:p>
      <w:pPr>
        <w:pStyle w:val="Heading1"/>
      </w:pPr>
      <w:r>
        <w:t>Search engine advertising.</w:t>
      </w:r>
    </w:p>
    <w:p>
      <w:r>
        <w:t>Known areas of interest: Search, Shopping, Performance Max, search-platform display/video, brand protection, app campaigns, product feeds or offline conversions.</w:t>
      </w:r>
    </w:p>
    <w:p>
      <w:pPr>
        <w:pStyle w:val="Heading2"/>
        <w:spacing w:before="160" w:after="60"/>
      </w:pPr>
      <w:r>
        <w:t>Which campaigns and accounts are involved?</w:t>
      </w:r>
    </w:p>
    <w:p>
      <w:pPr>
        <w:pStyle w:val="Hint"/>
        <w:keepNext/>
      </w:pPr>
      <w:r>
        <w:t>Reference current accounts and history. Add campaign types, legal entity, currency, time zone, billing status and priority or excluded offers, markets and search terms.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Are the conversion destinations and commercial inputs ready?</w:t>
      </w:r>
    </w:p>
    <w:p>
      <w:pPr>
        <w:pStyle w:val="Hint"/>
        <w:keepNext/>
      </w:pPr>
      <w:r>
        <w:t>Identify landing/product pages, forms, calls, offers and stock constraints. Reference lead-quality or sales data and whether downstream outcomes return to marketing.</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creative and feed work is required?</w:t>
      </w:r>
    </w:p>
    <w:p>
      <w:pPr>
        <w:pStyle w:val="Hint"/>
        <w:keepNext/>
      </w:pPr>
      <w:r>
        <w:t>State existing and required formats, quantities, versions, languages and refreshes; identify source owners. Complete the relevant creative, ecommerce or data supplements.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restrictions or service-specific commitments apply?</w:t>
      </w:r>
    </w:p>
    <w:p>
      <w:pPr>
        <w:pStyle w:val="Hint"/>
        <w:keepNext/>
      </w:pPr>
      <w:r>
        <w:t>Include platform/category restrictions, competitor terms, launch dependencies and media allocation. Reference core budgets; separately identify feed, call-tracking or landing-page costs.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int"/>
      </w:pPr>
      <w:r>
        <w:t>Refer to the core and selected supplements for shared answers. If a fact is unknown, record its owner and expected confirmation date.</w:t>
      </w:r>
    </w:p>
    <w:p>
      <w:pPr>
        <w:pStyle w:val="Eyebrow"/>
        <w:pageBreakBefore/>
      </w:pPr>
      <w:r>
        <w:t>SERVICE SMA | COMPLETE IF SELECTED</w:t>
      </w:r>
    </w:p>
    <w:p>
      <w:pPr>
        <w:pStyle w:val="Heading1"/>
      </w:pPr>
      <w:r>
        <w:t>Social media advertising.</w:t>
      </w:r>
    </w:p>
    <w:p>
      <w:r>
        <w:t>Known areas of interest: Lead generation, online sales, awareness, video, remarketing, catalogue advertising or creator content in paid campaigns.</w:t>
      </w:r>
    </w:p>
    <w:p>
      <w:pPr>
        <w:pStyle w:val="Heading2"/>
        <w:spacing w:before="160" w:after="60"/>
      </w:pPr>
      <w:r>
        <w:t>Which accounts, audiences and campaigns are involved?</w:t>
      </w:r>
    </w:p>
    <w:p>
      <w:pPr>
        <w:pStyle w:val="Hint"/>
        <w:keepNext/>
      </w:pPr>
      <w:r>
        <w:t>Reference business managers, profiles, pixels, conversion APIs, catalogues and campaign history. Identify priority offers and any customer/prospect audiences available for approved use.</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creative volume and production are expected?</w:t>
      </w:r>
    </w:p>
    <w:p>
      <w:pPr>
        <w:pStyle w:val="Hint"/>
        <w:keepNext/>
      </w:pPr>
      <w:r>
        <w:t>Include static, carousel, video, animation, lead forms and creator assets; quantities, aspect ratios, languages and refresh cycles. Identify what exists and what Emote should produce.</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rights and restrictions affect campaign use?</w:t>
      </w:r>
    </w:p>
    <w:p>
      <w:pPr>
        <w:pStyle w:val="Hint"/>
        <w:keepNext/>
      </w:pPr>
      <w:r>
        <w:t>Confirm rights for people, music, photography, video and creator/customer content. Identify restricted categories, claims, audiences, placements or brand-safety requirements.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differs from the core brief for this service?</w:t>
      </w:r>
    </w:p>
    <w:p>
      <w:pPr>
        <w:pStyle w:val="Hint"/>
        <w:keepNext/>
      </w:pPr>
      <w:r>
        <w:t>Add any unique conversion, media allocation, approval owner or deadline. Reference dependencies on stock, landing pages, tracking and lead follow-up.</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int"/>
      </w:pPr>
      <w:r>
        <w:t>Refer to the core and selected supplements for shared answers. If a fact is unknown, record its owner and expected confirmation date.</w:t>
      </w:r>
    </w:p>
    <w:p>
      <w:pPr>
        <w:pStyle w:val="Eyebrow"/>
        <w:pageBreakBefore/>
      </w:pPr>
      <w:r>
        <w:t>SERVICE SMM | COMPLETE IF SELECTED</w:t>
      </w:r>
    </w:p>
    <w:p>
      <w:pPr>
        <w:pStyle w:val="Heading1"/>
      </w:pPr>
      <w:r>
        <w:t>Social media management.</w:t>
      </w:r>
    </w:p>
    <w:p>
      <w:r>
        <w:t>Known areas of interest: Organic profiles, content calendars, copy/design, production, scheduling, community response, social listening or reporting.</w:t>
      </w:r>
    </w:p>
    <w:p>
      <w:pPr>
        <w:pStyle w:val="Heading2"/>
        <w:spacing w:before="160" w:after="60"/>
      </w:pPr>
      <w:r>
        <w:t>What publishing scope is required by channel?</w:t>
      </w:r>
    </w:p>
    <w:p>
      <w:pPr>
        <w:pStyle w:val="Hint"/>
        <w:keepNext/>
      </w:pPr>
      <w:r>
        <w:t>List profiles, current and proposed cadence, formats, languages, unique versus adapted posts and content owners. Flag inactive, duplicate or inaccessible profiles.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production and approval model applies?</w:t>
      </w:r>
    </w:p>
    <w:p>
      <w:pPr>
        <w:pStyle w:val="Hint"/>
        <w:keepNext/>
      </w:pPr>
      <w:r>
        <w:t>Identify supplied assets, new shoots, design, editing or creator work. State calendar deadlines, consolidated feedback, revision expectations and publishing authority.</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community management is required?</w:t>
      </w:r>
    </w:p>
    <w:p>
      <w:pPr>
        <w:pStyle w:val="Hint"/>
        <w:keepNext/>
      </w:pPr>
      <w:r>
        <w:t>Define comments, direct messages, reviews, complaints, spam or listening; monitoring days/hours, response limits, customer-service owner, escalation and crisis contacts.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differs from the core brief for this service?</w:t>
      </w:r>
    </w:p>
    <w:p>
      <w:pPr>
        <w:pStyle w:val="Hint"/>
        <w:keepNext/>
      </w:pPr>
      <w:r>
        <w:t>Add sensitive topics, rights, dates and capacity limits. Keep paid promotion, production, travel, tools and translation allowances explicit.</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int"/>
      </w:pPr>
      <w:r>
        <w:t>Refer to the core and selected supplements for shared answers. If a fact is unknown, record its owner and expected confirmation date.</w:t>
      </w:r>
    </w:p>
    <w:p>
      <w:pPr>
        <w:pStyle w:val="Eyebrow"/>
        <w:pageBreakBefore/>
      </w:pPr>
      <w:r>
        <w:t>SERVICE PLA | COMPLETE IF SELECTED</w:t>
      </w:r>
    </w:p>
    <w:p>
      <w:pPr>
        <w:pStyle w:val="Heading1"/>
      </w:pPr>
      <w:r>
        <w:t>Platform advertising.</w:t>
      </w:r>
    </w:p>
    <w:p>
      <w:r>
        <w:t>Known areas of interest: Programmatic, display, native, online video, connected television, streaming audio, podcast, digital out-of-home or direct publisher placements.</w:t>
      </w:r>
    </w:p>
    <w:p>
      <w:pPr>
        <w:pStyle w:val="Heading2"/>
        <w:spacing w:before="160" w:after="60"/>
      </w:pPr>
      <w:r>
        <w:t>Which platforms, publishers or media partners are involved?</w:t>
      </w:r>
    </w:p>
    <w:p>
      <w:pPr>
        <w:pStyle w:val="Hint"/>
        <w:keepNext/>
      </w:pPr>
      <w:r>
        <w:t>Identify current relationships, buying systems, account owners and billing. List mandatory contracts, excluded environments and platform minimums.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creative, audience and placement scope is expected?</w:t>
      </w:r>
    </w:p>
    <w:p>
      <w:pPr>
        <w:pStyle w:val="Hint"/>
        <w:keepNext/>
      </w:pPr>
      <w:r>
        <w:t>State formats, durations, languages, versions, available assets and rights. Reference required data sources, advert servers, verification and reporting tools.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delivery-quality requirements apply?</w:t>
      </w:r>
    </w:p>
    <w:p>
      <w:pPr>
        <w:pStyle w:val="Hint"/>
        <w:keepNext/>
      </w:pPr>
      <w:r>
        <w:t>Describe viewability, invalid traffic, frequency, brand safety, publisher exclusions, consent and geographic restrictions, plus known tracking, billing or handover issues.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differs from the core brief for this service?</w:t>
      </w:r>
    </w:p>
    <w:p>
      <w:pPr>
        <w:pStyle w:val="Hint"/>
        <w:keepNext/>
      </w:pPr>
      <w:r>
        <w:t>Add campaign allocations, procurement lead times and approval dependencies. Separate production, verification, research, third-party data and technology costs.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int"/>
      </w:pPr>
      <w:r>
        <w:t>Refer to the core and selected supplements for shared answers. If a fact is unknown, record its owner and expected confirmation date.</w:t>
      </w:r>
    </w:p>
    <w:p>
      <w:pPr>
        <w:pStyle w:val="Eyebrow"/>
        <w:pageBreakBefore/>
      </w:pPr>
      <w:r>
        <w:t>SERVICE EMA | COMPLETE IF SELECTED</w:t>
      </w:r>
    </w:p>
    <w:p>
      <w:pPr>
        <w:pStyle w:val="Heading1"/>
      </w:pPr>
      <w:r>
        <w:t>Email marketing.</w:t>
      </w:r>
    </w:p>
    <w:p>
      <w:r>
        <w:t>Known areas of interest: Campaigns, templates, lifecycle automation, segmentation, personalisation, list growth, deliverability or platform migration.</w:t>
      </w:r>
    </w:p>
    <w:p>
      <w:pPr>
        <w:pStyle w:val="Heading2"/>
        <w:spacing w:before="160" w:after="60"/>
      </w:pPr>
      <w:r>
        <w:t>What programme and database exist?</w:t>
      </w:r>
    </w:p>
    <w:p>
      <w:pPr>
        <w:pStyle w:val="Hint"/>
        <w:keepNext/>
      </w:pPr>
      <w:r>
        <w:t>List platform, database size, segments, brands, markets, sender identities and current cadence. Reference system owners and known consent, data, template or deliverability issues.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sends, templates and flows are required?</w:t>
      </w:r>
    </w:p>
    <w:p>
      <w:pPr>
        <w:pStyle w:val="Hint"/>
        <w:keepNext/>
      </w:pPr>
      <w:r>
        <w:t>Give quantities and cadence. List existing automations with retain/review/rebuild/retire status; identify lifecycle triggers and dependencies on CRM, ecommerce or website data.</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Who supplies, builds, approves and sends communications?</w:t>
      </w:r>
    </w:p>
    <w:p>
      <w:pPr>
        <w:pStyle w:val="Hint"/>
        <w:keepNext/>
      </w:pPr>
      <w:r>
        <w:t>Identify topic, offer, customer-data and creative owners; approval timeframes; scheduling authority and responsibilities retained by others.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delivery and data controls apply?</w:t>
      </w:r>
    </w:p>
    <w:p>
      <w:pPr>
        <w:pStyle w:val="Hint"/>
        <w:keepNext/>
      </w:pPr>
      <w:r>
        <w:t>Describe consent records, unsubscribe/suppression, sender/domain administration, accessibility and mandatory footer requirements. Reference core dates/budgets and separate licence, cleaning, migration, SMS or technical costs.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int"/>
      </w:pPr>
      <w:r>
        <w:t>Refer to the core and selected supplements for shared answers. If a fact is unknown, record its owner and expected confirmation date.</w:t>
      </w:r>
    </w:p>
    <w:p>
      <w:pPr>
        <w:pStyle w:val="Eyebrow"/>
        <w:pageBreakBefore/>
      </w:pPr>
      <w:r>
        <w:t>SERVICE INF | COMPLETE IF SELECTED</w:t>
      </w:r>
    </w:p>
    <w:p>
      <w:pPr>
        <w:pStyle w:val="Heading1"/>
      </w:pPr>
      <w:r>
        <w:t>Influencer marketing.</w:t>
      </w:r>
    </w:p>
    <w:p>
      <w:r>
        <w:t>Known areas of interest: Paid, gifted, affiliate, ambassador, event, creator production, content reuse or paid amplification activity.</w:t>
      </w:r>
    </w:p>
    <w:p>
      <w:pPr>
        <w:pStyle w:val="Heading2"/>
        <w:spacing w:before="160" w:after="60"/>
      </w:pPr>
      <w:r>
        <w:t>What creator relationships and selection criteria apply?</w:t>
      </w:r>
    </w:p>
    <w:p>
      <w:pPr>
        <w:pStyle w:val="Hint"/>
        <w:keepNext/>
      </w:pPr>
      <w:r>
        <w:t>List existing commitments, agencies, exclusivity, desired characteristics, exclusions, competitor conflicts and reputation or sensitive-audience requirements.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creator and deliverable scope is fixed?</w:t>
      </w:r>
    </w:p>
    <w:p>
      <w:pPr>
        <w:pStyle w:val="Hint"/>
        <w:keepNext/>
      </w:pPr>
      <w:r>
        <w:t>State creator counts, outputs per creator, formats, languages, posting dates, review stages and revisions. Specify Emote responsibilities from research and outreach through contracts, publishing and reporting.</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rights, disclosures and approvals are needed?</w:t>
      </w:r>
    </w:p>
    <w:p>
      <w:pPr>
        <w:pStyle w:val="Hint"/>
        <w:keepNext/>
      </w:pPr>
      <w:r>
        <w:t>Specify territory, duration, raw files, edits, organic reuse, category exclusivity and paid amplification/whitelisting. Identify who approves creators, fees, claims, contracts and content.</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Who manages logistics and payments?</w:t>
      </w:r>
    </w:p>
    <w:p>
      <w:pPr>
        <w:pStyle w:val="Hint"/>
        <w:keepNext/>
      </w:pPr>
      <w:r>
        <w:t>State samples, freight, returns, stock, travel or event access; supplier onboarding and payment owner. Reference core budgets, separating creator fees, commissions, rights, amplification and logistics; note embargoes and cancellation constraints.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int"/>
      </w:pPr>
      <w:r>
        <w:t>Refer to the core and selected supplements for shared answers. If a fact is unknown, record its owner and expected confirmation date.</w:t>
      </w:r>
    </w:p>
    <w:p>
      <w:pPr>
        <w:pStyle w:val="Eyebrow"/>
        <w:pageBreakBefore/>
      </w:pPr>
      <w:r>
        <w:t>SERVICE CON | COMPLETE IF SELECTED</w:t>
      </w:r>
    </w:p>
    <w:p>
      <w:pPr>
        <w:pStyle w:val="Heading1"/>
      </w:pPr>
      <w:r>
        <w:t>Content writing.</w:t>
      </w:r>
    </w:p>
    <w:p>
      <w:r>
        <w:t>Known areas of interest: Articles, service/product pages, campaign copy, guides, case studies, thought leadership, email/social copy, scripts or content updates.</w:t>
      </w:r>
    </w:p>
    <w:p>
      <w:pPr>
        <w:pStyle w:val="Heading2"/>
        <w:spacing w:before="160" w:after="60"/>
      </w:pPr>
      <w:r>
        <w:t>What outputs are required?</w:t>
      </w:r>
    </w:p>
    <w:p>
      <w:pPr>
        <w:pStyle w:val="Hint"/>
        <w:keepNext/>
      </w:pPr>
      <w:r>
        <w:t>For each, give new/revised status, quantity, length/depth, audience, market/language, cadence, due date and publishing owner. List approved subjects and exclusions.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source development is required?</w:t>
      </w:r>
    </w:p>
    <w:p>
      <w:pPr>
        <w:pStyle w:val="Hint"/>
        <w:keepNext/>
      </w:pPr>
      <w:r>
        <w:t>Identify available research, experts, interviews, transcripts, original analysis and verification. State interview quantity/duration and availability where relevant.</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Where does writing responsibility end?</w:t>
      </w:r>
    </w:p>
    <w:p>
      <w:pPr>
        <w:pStyle w:val="Hint"/>
        <w:keepNext/>
      </w:pPr>
      <w:r>
        <w:t>Confirm written copy only or also imagery, design, downloadable assets, metadata, internal links, upload, formatting and publishing. Identify work owned by others.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editorial controls apply?</w:t>
      </w:r>
    </w:p>
    <w:p>
      <w:pPr>
        <w:pStyle w:val="Hint"/>
        <w:keepNext/>
      </w:pPr>
      <w:r>
        <w:t>Provide voice guides, citation rules, factual/legal approvers, consolidated review stages and revisions. State AI-assisted drafting, originality, confidentiality and localisation policies; reference core budgets and separate production, interview or licence costs.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int"/>
      </w:pPr>
      <w:r>
        <w:t>Refer to the core and selected supplements for shared answers. If a fact is unknown, record its owner and expected confirmation date.</w:t>
      </w:r>
    </w:p>
    <w:p>
      <w:pPr>
        <w:pStyle w:val="Eyebrow"/>
        <w:pageBreakBefore/>
      </w:pPr>
      <w:r>
        <w:t>SUPPLEMENT A | COMPLETE IF TRIGGERED</w:t>
      </w:r>
    </w:p>
    <w:p>
      <w:pPr>
        <w:pStyle w:val="Heading1"/>
      </w:pPr>
      <w:r>
        <w:t>Ecommerce and product feeds.</w:t>
      </w:r>
    </w:p>
    <w:p>
      <w:r>
        <w:t>Use when marketing depends on a catalogue, ecommerce transactions or product feeds.</w:t>
      </w:r>
    </w:p>
    <w:p>
      <w:pPr>
        <w:pStyle w:val="Heading2"/>
        <w:spacing w:before="160" w:after="60"/>
      </w:pPr>
      <w:r>
        <w:t>What commercial and catalogue scope applies?</w:t>
      </w:r>
    </w:p>
    <w:p>
      <w:pPr>
        <w:pStyle w:val="Hint"/>
        <w:keepNext/>
      </w:pPr>
      <w:r>
        <w:t>Reference the core offer priorities and conversion values. Add platform, brands, markets and active/planned counts for products, SKUs, variants, bundles, subscriptions and collections.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feeds and source systems exist?</w:t>
      </w:r>
    </w:p>
    <w:p>
      <w:pPr>
        <w:pStyle w:val="Hint"/>
        <w:keepNext/>
      </w:pPr>
      <w:r>
        <w:t>List each feed, source of truth, owner, update frequency, markets, product count and approval status. State whether Emote must use, repair, create, enrich or maintain it.</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can limit demand or delivery?</w:t>
      </w:r>
    </w:p>
    <w:p>
      <w:pPr>
        <w:pStyle w:val="Hint"/>
        <w:keepNext/>
      </w:pPr>
      <w:r>
        <w:t>Include stock, fulfilment, warehouse, shipping, returns, service capacity, promotions and seasonality. Reference known margin, repeat purchase and acquisition constraints.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supporting work is ready or separately required?</w:t>
      </w:r>
    </w:p>
    <w:p>
      <w:pPr>
        <w:pStyle w:val="Hint"/>
        <w:keepNext/>
      </w:pPr>
      <w:r>
        <w:t>Identify product, category, checkout and campaign pages; technical owner and available budget for feed, tracking, landing-page or ecommerce work.</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SUPPLEMENT B | COMPLETE IF TRIGGERED</w:t>
      </w:r>
    </w:p>
    <w:p>
      <w:pPr>
        <w:pStyle w:val="Heading1"/>
      </w:pPr>
      <w:r>
        <w:t>Lead generation and sales follow-up.</w:t>
      </w:r>
    </w:p>
    <w:p>
      <w:r>
        <w:t>Use when the result depends on an enquiry, call, booking, application or sales-managed lead.</w:t>
      </w:r>
    </w:p>
    <w:p>
      <w:pPr>
        <w:pStyle w:val="Heading2"/>
        <w:spacing w:before="160" w:after="60"/>
      </w:pPr>
      <w:r>
        <w:t>What makes a lead qualified or unsuitable?</w:t>
      </w:r>
    </w:p>
    <w:p>
      <w:pPr>
        <w:pStyle w:val="Hint"/>
        <w:keepNext/>
      </w:pPr>
      <w:r>
        <w:t>Reference the core conversion definition and add eligibility, location, customer type, budget or timing rules. Provide known qualification and lead-to-sale rates, or No data available.</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happens from enquiry to completed sale?</w:t>
      </w:r>
    </w:p>
    <w:p>
      <w:pPr>
        <w:pStyle w:val="Hint"/>
        <w:keepNext/>
      </w:pPr>
      <w:r>
        <w:t>Identify forms, booking tools, telephone/call tracking, confirmation pages, quotes, approvals and offline steps. List each owner and response-time expectation.</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How are outcomes recorded and returned?</w:t>
      </w:r>
    </w:p>
    <w:p>
      <w:pPr>
        <w:pStyle w:val="Hint"/>
        <w:keepNext/>
      </w:pPr>
      <w:r>
        <w:t>Describe qualified, quoted, won/lost, revenue and lost-reason records, reporting owner and cadence. Complete G for tracking or integration detail.</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SUPPLEMENT C | COMPLETE IF TRIGGERED</w:t>
      </w:r>
    </w:p>
    <w:p>
      <w:pPr>
        <w:pStyle w:val="Heading1"/>
      </w:pPr>
      <w:r>
        <w:t>Multiple brands, locations and markets.</w:t>
      </w:r>
    </w:p>
    <w:p>
      <w:r>
        <w:t>Use when activity spans multiple properties, teams, geographies or languages.</w:t>
      </w:r>
    </w:p>
    <w:p>
      <w:pPr>
        <w:pStyle w:val="Heading2"/>
        <w:spacing w:before="160" w:after="60"/>
      </w:pPr>
      <w:r>
        <w:t>What properties and priorities are involved?</w:t>
      </w:r>
    </w:p>
    <w:p>
      <w:pPr>
        <w:pStyle w:val="Hint"/>
        <w:keepNext/>
      </w:pPr>
      <w:r>
        <w:t>List each brand, website, location, dealer/franchise or market; priority, exclusions, destination, offer, audience, operating capacity and material opening/launch dates.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differs by market or location?</w:t>
      </w:r>
    </w:p>
    <w:p>
      <w:pPr>
        <w:pStyle w:val="Hint"/>
        <w:keepNext/>
      </w:pPr>
      <w:r>
        <w:t>Include geography, eligibility, prices, availability, currencies, time zones and languages. Define shared versus unique creative, translation/localisation and local accuracy owners.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How are accounts and decisions organised?</w:t>
      </w:r>
    </w:p>
    <w:p>
      <w:pPr>
        <w:pStyle w:val="Hint"/>
        <w:keepNext/>
      </w:pPr>
      <w:r>
        <w:t>Identify central/local control of profiles, advertising, databases, CRM, catalogues and analytics. Explain lead/order routing and who resolves competing approvals.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How are budget and reporting allocated?</w:t>
      </w:r>
    </w:p>
    <w:p>
      <w:pPr>
        <w:pStyle w:val="Hint"/>
        <w:keepNext/>
      </w:pPr>
      <w:r>
        <w:t>Reference core investment and describe local allocations, shared costs, reporting separation and decision owners.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SUPPLEMENT D | COMPLETE IF TRIGGERED</w:t>
      </w:r>
    </w:p>
    <w:p>
      <w:pPr>
        <w:pStyle w:val="Heading1"/>
      </w:pPr>
      <w:r>
        <w:t>Regulated activity, approvals and privacy.</w:t>
      </w:r>
    </w:p>
    <w:p>
      <w:r>
        <w:t>Use for restricted claims, sensitive data/audiences or formal specialist approval.</w:t>
      </w:r>
    </w:p>
    <w:p>
      <w:pPr>
        <w:pStyle w:val="Heading2"/>
        <w:spacing w:before="160" w:after="60"/>
      </w:pPr>
      <w:r>
        <w:t>What requirements and advisers apply?</w:t>
      </w:r>
    </w:p>
    <w:p>
      <w:pPr>
        <w:pStyle w:val="Hint"/>
        <w:keepNext/>
      </w:pPr>
      <w:r>
        <w:t>Identify industries, products, jurisdictions, licences, codes and internal policies, plus qualified advisers and final approval authority. Supply existing approved guidance.</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claims and audiences are restricted?</w:t>
      </w:r>
    </w:p>
    <w:p>
      <w:pPr>
        <w:pStyle w:val="Hint"/>
        <w:keepNext/>
      </w:pPr>
      <w:r>
        <w:t>Provide approved/prohibited wording, evidence, disclaimers, age/location/eligibility limits and rules for reviews, endorsements, comparisons, before-and-after images or promotions.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How is activity reviewed and controlled?</w:t>
      </w:r>
    </w:p>
    <w:p>
      <w:pPr>
        <w:pStyle w:val="Hint"/>
        <w:keepNext/>
      </w:pPr>
      <w:r>
        <w:t>State approvals by format/language/market, turnaround, version records and authority to pause or withdraw. Include creator disclosures and amplification restrictions where relevant.</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data use has been approved?</w:t>
      </w:r>
    </w:p>
    <w:p>
      <w:pPr>
        <w:pStyle w:val="Hint"/>
        <w:keepNext/>
      </w:pPr>
      <w:r>
        <w:t>Describe personal/sensitive data categories and purposes, consent/source evidence for email, telephone and matched audiences, access/retention constraints and separate specialist budget. Do not supply personal records.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int"/>
      </w:pPr>
      <w:r>
        <w:t>The client supplies applicable obligations, approved claims and qualified specialist advice. Emote does not provide legal, medical, financial or regulatory advice.</w:t>
      </w:r>
    </w:p>
    <w:p>
      <w:pPr>
        <w:pStyle w:val="Eyebrow"/>
        <w:pageBreakBefore/>
      </w:pPr>
      <w:r>
        <w:t>SUPPLEMENT E | COMPLETE IF TRIGGERED</w:t>
      </w:r>
    </w:p>
    <w:p>
      <w:pPr>
        <w:pStyle w:val="Heading1"/>
      </w:pPr>
      <w:r>
        <w:t>Creative and content production.</w:t>
      </w:r>
    </w:p>
    <w:p>
      <w:r>
        <w:t>Use for new or adapted design, copy, photography, video, audio, creator assets or regular refreshes.</w:t>
      </w:r>
    </w:p>
    <w:p>
      <w:pPr>
        <w:pStyle w:val="Heading2"/>
        <w:spacing w:before="160" w:after="60"/>
      </w:pPr>
      <w:r>
        <w:t>What assets and rights are available?</w:t>
      </w:r>
    </w:p>
    <w:p>
      <w:pPr>
        <w:pStyle w:val="Hint"/>
        <w:keepNext/>
      </w:pPr>
      <w:r>
        <w:t>Inventory approved assets and evidence of rights for proposed channels, markets, duration, paid use, talent, locations, music, stock and creators.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production outputs are needed?</w:t>
      </w:r>
    </w:p>
    <w:p>
      <w:pPr>
        <w:pStyle w:val="Hint"/>
        <w:keepNext/>
      </w:pPr>
      <w:r>
        <w:t>For each format, state quantity, dimensions/duration, channel, language, cadence and refresh. Identify shared versus unique versions and Emote responsibilities from concept to final production.</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production logistics apply?</w:t>
      </w:r>
    </w:p>
    <w:p>
      <w:pPr>
        <w:pStyle w:val="Hint"/>
        <w:keepNext/>
      </w:pPr>
      <w:r>
        <w:t>Identify shoots, locations, permits, safety/induction needs, specialist supervision, crew, travel, staff, props, samples, freight, returns, releases and embargoes.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How will work be approved and delivered?</w:t>
      </w:r>
    </w:p>
    <w:p>
      <w:pPr>
        <w:pStyle w:val="Hint"/>
        <w:keepNext/>
      </w:pPr>
      <w:r>
        <w:t>Name source-fact/claims owner, feedback consolidator and approver; review rounds/days; working/final files and storage. Reference separate talent, licence, travel, product and production allowances.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SUPPLEMENT F | COMPLETE IF TRIGGERED</w:t>
      </w:r>
    </w:p>
    <w:p>
      <w:pPr>
        <w:pStyle w:val="Heading1"/>
      </w:pPr>
      <w:r>
        <w:t>Incumbent provider and account transition.</w:t>
      </w:r>
    </w:p>
    <w:p>
      <w:r>
        <w:t>Use when another party currently controls or manages relevant work or access.</w:t>
      </w:r>
    </w:p>
    <w:p>
      <w:pPr>
        <w:pStyle w:val="Heading2"/>
        <w:spacing w:before="160" w:after="60"/>
      </w:pPr>
      <w:r>
        <w:t>Who is involved, and what will change?</w:t>
      </w:r>
    </w:p>
    <w:p>
      <w:pPr>
        <w:pStyle w:val="Hint"/>
        <w:keepNext/>
      </w:pPr>
      <w:r>
        <w:t>List each provider/team and ending, continuing or overlapping responsibilities. Identify handover authority and day-to-day contact.</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handover limits and dates apply?</w:t>
      </w:r>
    </w:p>
    <w:p>
      <w:pPr>
        <w:pStyle w:val="Hint"/>
        <w:keepNext/>
      </w:pPr>
      <w:r>
        <w:t>State known contract/notice dates, transfer obligations, confidentiality, retention and licence constraints. Identify earliest complete authorised access and unresolved items.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Which assets and accounts can transfer?</w:t>
      </w:r>
    </w:p>
    <w:p>
      <w:pPr>
        <w:pStyle w:val="Hint"/>
        <w:keepNext/>
      </w:pPr>
      <w:r>
        <w:t>Reference the core access inventory and add client/provider/shared ownership, administrator issues, source files, templates, feeds, automations, scripts, history and licence transferability.</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must remain uninterrupted?</w:t>
      </w:r>
    </w:p>
    <w:p>
      <w:pPr>
        <w:pStyle w:val="Hint"/>
        <w:keepNext/>
      </w:pPr>
      <w:r>
        <w:t>List active campaigns, budgets, schedules, flows and critical settings; handover evidence and owner. Identify separately scoped familiarisation, repair, rebuild or contingency work.</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SUPPLEMENT G | COMPLETE IF TRIGGERED</w:t>
      </w:r>
    </w:p>
    <w:p>
      <w:pPr>
        <w:pStyle w:val="Heading1"/>
      </w:pPr>
      <w:r>
        <w:t>Tracking, CRM, data and integrations.</w:t>
      </w:r>
    </w:p>
    <w:p>
      <w:r>
        <w:t>Use for conversion tracking, CRM, customer lists, automation, ecommerce data or system connections.</w:t>
      </w:r>
    </w:p>
    <w:p>
      <w:pPr>
        <w:pStyle w:val="Heading2"/>
        <w:spacing w:before="160" w:after="60"/>
      </w:pPr>
      <w:r>
        <w:t>What is known about measurement quality?</w:t>
      </w:r>
    </w:p>
    <w:p>
      <w:pPr>
        <w:pStyle w:val="Hint"/>
        <w:keepNext/>
      </w:pPr>
      <w:r>
        <w:t>Reference core events and access owners. Add validation date, analytics/platform/CRM discrepancies, consent tools and available evidence. No new technical audit is requested.</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sales and attribution records are available?</w:t>
      </w:r>
    </w:p>
    <w:p>
      <w:pPr>
        <w:pStyle w:val="Hint"/>
        <w:keepNext/>
      </w:pPr>
      <w:r>
        <w:t>Describe stages, values, wins/losses, repeat customers, source/campaign/creative identifiers and consent. Identify lead routing, deduplication and data-quality owners.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Which connections and feedback loops are required?</w:t>
      </w:r>
    </w:p>
    <w:p>
      <w:pPr>
        <w:pStyle w:val="Hint"/>
        <w:keepNext/>
      </w:pPr>
      <w:r>
        <w:t>For each, give source/destination, method, documentation, owner, update frequency and known timing, volume or security limits. State whether offline conversions or revenue can return to platforms.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What technical work needs to be scoped?</w:t>
      </w:r>
    </w:p>
    <w:p>
      <w:pPr>
        <w:pStyle w:val="Hint"/>
        <w:keepNext/>
      </w:pPr>
      <w:r>
        <w:t>Identify design, implementation, repair or maintenance of tracking, CRM or integrations; implementation authority, separate technical budget and outstanding vendor facts.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Eyebrow"/>
        <w:pageBreakBefore/>
      </w:pPr>
      <w:r>
        <w:t>RETURN AND NEXT STEP</w:t>
      </w:r>
    </w:p>
    <w:p>
      <w:pPr>
        <w:pStyle w:val="Heading1"/>
      </w:pPr>
      <w:r>
        <w:t>Ready for review.</w:t>
      </w:r>
    </w:p>
    <w:p>
      <w:pPr>
        <w:pStyle w:val="Heading2"/>
        <w:spacing w:before="160" w:after="60"/>
      </w:pPr>
      <w:r>
        <w:t>Outstanding information.</w:t>
      </w:r>
    </w:p>
    <w:p>
      <w:pPr>
        <w:pStyle w:val="Hint"/>
        <w:keepNext/>
      </w:pPr>
      <w:r>
        <w:t>List each unknown, its effect on scope, the person responsible and expected confirmation date.</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Supporting documents.</w:t>
      </w:r>
    </w:p>
    <w:p>
      <w:pPr>
        <w:pStyle w:val="Hint"/>
        <w:keepNext/>
      </w:pPr>
      <w:r>
        <w:t>List the title, version or date, link or reference, owner and any access restriction. Include only material relevant to the selected scope.</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spacing w:before="160" w:after="60"/>
      </w:pPr>
      <w:r>
        <w:t>Anything else Emote should know?</w:t>
      </w:r>
    </w:p>
    <w:p>
      <w:pPr>
        <w:pStyle w:val="Hint"/>
        <w:keepNext/>
      </w:pPr>
      <w:r>
        <w:t>Include prior project lessons, constraints, exclusions or questions.</w:t>
      </w:r>
    </w:p>
    <w:tbl>
      <w:tblPr>
        <w:tblW w:type="auto" w:w="0"/>
        <w:tblLayout w:type="fixed"/>
        <w:tblLook w:firstColumn="1" w:firstRow="1" w:lastColumn="0" w:lastRow="0" w:noHBand="0" w:noVBand="1" w:val="04A0"/>
      </w:tblPr>
      <w:tblGrid>
        <w:gridCol w:w="9638"/>
      </w:tblGrid>
      <w:tr>
        <w:trPr>
          <w:cantSplit/>
        </w:trPr>
        <w:tc>
          <w:tcPr>
            <w:tcW w:type="dxa" w:w="9638"/>
            <w:shd w:fill="F6F4EE"/>
          </w:tcPr>
          <w:p>
            <w:pPr>
              <w:spacing w:before="120" w:after="180" w:line="312" w:lineRule="auto"/>
            </w:pPr>
            <w:r>
              <w:rPr>
                <w:rFonts w:ascii="Apercu" w:hAnsi="Apercu" w:eastAsia="Apercu"/>
                <w:b w:val="0"/>
                <w:color w:val="545454"/>
                <w:sz w:val="20"/>
              </w:rPr>
              <w:t>[Enter response or supporting document reference.]</w:t>
            </w:r>
          </w:p>
        </w:tc>
      </w:tr>
    </w:tbl>
    <w:p>
      <w:pPr>
        <w:pStyle w:val="Heading2"/>
      </w:pPr>
      <w:r>
        <w:t>Return your completed project copy.</w:t>
      </w:r>
    </w:p>
    <w:p>
      <w:r>
        <w:t>Use the return contact and date on the cover. If Emote has supplied a shared document, enter your answers there and notify your contact when it is ready. Otherwise return the completed Word document with relevant non-sensitive supporting material.</w:t>
      </w:r>
    </w:p>
    <w:p>
      <w:r>
        <w:t>Emote will assess the selected services, delivery responsibilities and readiness to quote. Material gaps may require written clarification, a smaller initial scope or separately scoped strategy, creative, website, tracking or technical work. Research, audits, strategy and implementation begin through the relevant approved paid engagement.</w:t>
      </w:r>
    </w:p>
    <w:p>
      <w:pPr>
        <w:pStyle w:val="Hint"/>
      </w:pPr>
      <w:r>
        <w:t>This brief is an information-gathering document. It does not approve scope, guarantee results, fix implementation pricing or reserve delivery capacity. Scope, assumptions, exclusions, responsibilities, fees and timing are confirmed in the signed or accepted proposal.</w:t>
      </w:r>
    </w:p>
    <w:p>
      <w:hyperlink r:id="rId12">
        <w:r>
          <w:rPr>
            <w:color w:val="4B696F"/>
            <w:u w:val="single"/>
          </w:rPr>
          <w:t>Contact Emote</w:t>
        </w:r>
      </w:hyperlink>
    </w:p>
    <w:p>
      <w:hyperlink r:id="rId13">
        <w:r>
          <w:rPr>
            <w:color w:val="4B696F"/>
            <w:u w:val="single"/>
          </w:rPr>
          <w:t>Emote Privacy Policy</w:t>
        </w:r>
      </w:hyperlink>
    </w:p>
    <w:sectPr w:rsidR="00FC693F" w:rsidRPr="0006063C" w:rsidSect="00034616">
      <w:footerReference w:type="default" r:id="rId9"/>
      <w:headerReference w:type="default" r:id="rId10"/>
      <w:pgSz w:w="11906" w:h="16838"/>
      <w:pgMar w:top="1134" w:right="1134" w:bottom="1077"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percu" w:hAnsi="Apercu" w:eastAsia="Apercu"/>
        <w:b w:val="0"/>
        <w:color w:val="545454"/>
        <w:sz w:val="16"/>
      </w:rPr>
      <w:t xml:space="preserve">Emote Digital, Part of Big Picture Group   |   DMB v2.0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ercu" w:hAnsi="Apercu" w:eastAsia="Apercu"/>
        <w:b w:val="0"/>
        <w:color w:val="545454"/>
        <w:sz w:val="16"/>
      </w:rPr>
      <w:t>emotedigital.com.au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60"/>
    </w:pPr>
    <w:rPr>
      <w:rFonts w:ascii="Apercu" w:hAnsi="Apercu"/>
      <w:b w:val="0"/>
      <w:color w:val="19191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312" w:lineRule="auto"/>
      <w:outlineLvl w:val="0"/>
    </w:pPr>
    <w:rPr>
      <w:rFonts w:asciiTheme="majorHAnsi" w:eastAsiaTheme="majorEastAsia" w:hAnsiTheme="majorHAnsi" w:cstheme="majorBidi" w:ascii="Apercu" w:hAnsi="Apercu"/>
      <w:b/>
      <w:bCs/>
      <w:color w:val="191919"/>
      <w:sz w:val="48"/>
      <w:szCs w:val="28"/>
    </w:rPr>
  </w:style>
  <w:style w:type="paragraph" w:styleId="Heading2">
    <w:name w:val="heading 2"/>
    <w:basedOn w:val="Normal"/>
    <w:next w:val="Normal"/>
    <w:link w:val="Heading2Char"/>
    <w:uiPriority w:val="9"/>
    <w:unhideWhenUsed/>
    <w:qFormat/>
    <w:rsid w:val="00FC693F"/>
    <w:pPr>
      <w:keepNext/>
      <w:keepLines/>
      <w:spacing w:before="200" w:after="160" w:line="312" w:lineRule="auto"/>
      <w:outlineLvl w:val="1"/>
    </w:pPr>
    <w:rPr>
      <w:rFonts w:asciiTheme="majorHAnsi" w:eastAsiaTheme="majorEastAsia" w:hAnsiTheme="majorHAnsi" w:cstheme="majorBidi" w:ascii="Apercu" w:hAnsi="Apercu"/>
      <w:b/>
      <w:bCs/>
      <w:color w:val="19191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312" w:lineRule="auto"/>
      <w:contextualSpacing/>
    </w:pPr>
    <w:rPr>
      <w:rFonts w:asciiTheme="majorHAnsi" w:eastAsiaTheme="majorEastAsia" w:hAnsiTheme="majorHAnsi" w:cstheme="majorBidi" w:ascii="Apercu" w:hAnsi="Apercu"/>
      <w:b/>
      <w:color w:val="191919"/>
      <w:spacing w:val="5"/>
      <w:kern w:val="28"/>
      <w:sz w:val="7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keepNext/>
      <w:spacing w:line="312" w:lineRule="auto" w:after="100"/>
    </w:pPr>
    <w:rPr>
      <w:rFonts w:ascii="Apercu" w:hAnsi="Apercu"/>
      <w:color w:val="4B696F"/>
      <w:sz w:val="17"/>
    </w:rPr>
  </w:style>
  <w:style w:type="paragraph" w:customStyle="1" w:styleId="Hint">
    <w:name w:val="Hint"/>
    <w:pPr>
      <w:spacing w:line="312" w:lineRule="auto" w:after="100"/>
    </w:pPr>
    <w:rPr>
      <w:rFonts w:ascii="Apercu" w:hAnsi="Apercu"/>
      <w:color w:val="545454"/>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1.png"/><Relationship Id="rId12" Type="http://schemas.openxmlformats.org/officeDocument/2006/relationships/hyperlink" Target="mailto:hello@emotedigital.com.au" TargetMode="External"/><Relationship Id="rId13" Type="http://schemas.openxmlformats.org/officeDocument/2006/relationships/hyperlink" Target="https://www.emotedigital.com.au/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marketing project brief.</dc:title>
  <dc:subject>CLIENT PROJECT BRIEF</dc:subject>
  <dc:creator>Emote Digital</dc:creator>
  <cp:keywords/>
  <dc:description/>
  <cp:lastModifiedBy/>
  <cp:revision>1</cp:revision>
  <dcterms:created xsi:type="dcterms:W3CDTF">2013-12-23T23:15:00Z</dcterms:created>
  <dcterms:modified xsi:type="dcterms:W3CDTF">2013-12-23T23:15:00Z</dcterms:modified>
  <cp:category/>
</cp:coreProperties>
</file>