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
        <w:drawing>
          <wp:inline xmlns:a="http://schemas.openxmlformats.org/drawingml/2006/main" xmlns:pic="http://schemas.openxmlformats.org/drawingml/2006/picture">
            <wp:extent cx="1584000" cy="248160"/>
            <wp:docPr id="1" name="Picture 1"/>
            <wp:cNvGraphicFramePr>
              <a:graphicFrameLocks noChangeAspect="1"/>
            </wp:cNvGraphicFramePr>
            <a:graphic>
              <a:graphicData uri="http://schemas.openxmlformats.org/drawingml/2006/picture">
                <pic:pic>
                  <pic:nvPicPr>
                    <pic:cNvPr id="0" name="11-Emote-Complex-Website-Project-Brief-Template-v1.2_image2.png"/>
                    <pic:cNvPicPr/>
                  </pic:nvPicPr>
                  <pic:blipFill>
                    <a:blip r:embed="rId11"/>
                    <a:stretch>
                      <a:fillRect/>
                    </a:stretch>
                  </pic:blipFill>
                  <pic:spPr>
                    <a:xfrm>
                      <a:off x="0" y="0"/>
                      <a:ext cx="1584000" cy="248160"/>
                    </a:xfrm>
                    <a:prstGeom prst="rect"/>
                  </pic:spPr>
                </pic:pic>
              </a:graphicData>
            </a:graphic>
          </wp:inline>
        </w:drawing>
      </w:r>
    </w:p>
    <w:p>
      <w:pPr>
        <w:pStyle w:val="Eyebrow"/>
        <w:spacing w:before="840"/>
      </w:pPr>
      <w:r>
        <w:t>CLIENT PROJECT BRIEF</w:t>
      </w:r>
    </w:p>
    <w:p>
      <w:pPr>
        <w:pStyle w:val="Title"/>
      </w:pPr>
      <w:r>
        <w:t>Complex website</w:t>
        <w:br/>
        <w:t>project brief.</w:t>
      </w:r>
    </w:p>
    <w:p>
      <w:r>
        <w:t>For websites, ecommerce, customer portals, integrations, substantial migration and programmes spanning multiple properties.</w:t>
      </w:r>
    </w:p>
    <w:p>
      <w:pPr>
        <w:pStyle w:val="Heading2"/>
      </w:pPr>
      <w:r>
        <w:t>Clarity before commitment.</w:t>
      </w:r>
    </w:p>
    <w:p>
      <w:pPr>
        <w:pStyle w:val="Hint"/>
      </w:pPr>
      <w:r>
        <w:t>Version 2.0 | September 2026</w:t>
      </w:r>
    </w:p>
    <w:tbl>
      <w:tblPr>
        <w:tblW w:type="auto" w:w="0"/>
        <w:jc w:val="center"/>
        <w:tblLayout w:type="fixed"/>
        <w:tblLook w:firstColumn="1" w:firstRow="1" w:lastColumn="0" w:lastRow="0" w:noHBand="0" w:noVBand="1" w:val="04A0"/>
      </w:tblPr>
      <w:tblGrid>
        <w:gridCol w:w="3458"/>
        <w:gridCol w:w="6180"/>
      </w:tblGrid>
      <w:tr>
        <w:trPr>
          <w:tblHeader/>
          <w:cantSplit/>
        </w:trPr>
        <w:tc>
          <w:tcPr>
            <w:tcW w:type="dxa" w:w="345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Project information</w:t>
            </w:r>
          </w:p>
        </w:tc>
        <w:tc>
          <w:tcPr>
            <w:tcW w:type="dxa" w:w="6180"/>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Complete for this engagement</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Organisation / project</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name.]</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Contact / role / email / phone</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details.]</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Date / copy version</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date and version.]</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Return to / due date / time zone</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[Emote contact to complete before issue.]</w:t>
            </w:r>
          </w:p>
        </w:tc>
      </w:tr>
    </w:tbl>
    <w:p>
      <w:pPr>
        <w:spacing w:after="40"/>
      </w:pPr>
      <w:r/>
    </w:p>
    <w:p>
      <w:pPr>
        <w:pStyle w:val="Heading2"/>
      </w:pPr>
      <w:r>
        <w:t>How to complete.</w:t>
      </w:r>
    </w:p>
    <w:p>
      <w:r>
        <w:t>Use short answers and existing document references. This document expands as you type. Obtain known facts and available records from your team and vendors; you do not need to invent a technical solution. Write “Please recommend” for a decision you want Emote to help make. For an unknown fact, identify its owner and expected confirmation date. Mark irrelevant items “Not applicable”.</w:t>
      </w:r>
    </w:p>
    <w:p>
      <w:pPr>
        <w:pStyle w:val="Hint"/>
      </w:pPr>
      <w:r>
        <w:t>Use a separate project copy. The completed copy is confidential. Confirm availability of access and sensitive records only; do not enter credentials, source code or live customer data. Agree secure access and any confidentiality arrangements with Emote when required.</w:t>
      </w:r>
    </w:p>
    <w:p>
      <w:pPr>
        <w:pStyle w:val="Eyebrow"/>
        <w:pageBreakBefore/>
      </w:pPr>
      <w:r>
        <w:t>START HERE</w:t>
      </w:r>
    </w:p>
    <w:p>
      <w:pPr>
        <w:pStyle w:val="Heading1"/>
      </w:pPr>
      <w:r>
        <w:t>Complete the relevant scope.</w:t>
      </w:r>
    </w:p>
    <w:tbl>
      <w:tblPr>
        <w:tblW w:type="auto" w:w="0"/>
        <w:jc w:val="center"/>
        <w:tblLayout w:type="fixed"/>
        <w:tblLook w:firstColumn="1" w:firstRow="1" w:lastColumn="0" w:lastRow="0" w:noHBand="0" w:noVBand="1" w:val="04A0"/>
      </w:tblPr>
      <w:tblGrid>
        <w:gridCol w:w="2268"/>
        <w:gridCol w:w="7370"/>
      </w:tblGrid>
      <w:tr>
        <w:trPr>
          <w:tblHeader/>
          <w:cantSplit/>
        </w:trPr>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Section</w:t>
            </w:r>
          </w:p>
        </w:tc>
        <w:tc>
          <w:tcPr>
            <w:tcW w:type="dxa" w:w="7370"/>
            <w:shd w:fill="DCEDE6"/>
            <w:tcMar>
              <w:top w:w="80" w:type="dxa"/>
              <w:left w:w="80" w:type="dxa"/>
              <w:bottom w:w="80" w:type="dxa"/>
              <w:right w:w="80" w:type="dxa"/>
            </w:tcMar>
            <w:tcBorders>
              <w:bottom w:val="single" w:sz="4" w:color="E0E0DC"/>
            </w:tcBorders>
          </w:tcPr>
          <w:p>
            <w:r>
              <w:rPr>
                <w:rFonts w:ascii="Apercu" w:hAnsi="Apercu" w:eastAsia="Apercu"/>
                <w:b/>
                <w:color w:val="191919"/>
                <w:sz w:val="18"/>
              </w:rPr>
              <w:t>Use</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01 to 05</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Core project assessment. Reference an existing RFQ rather than repeating supplied answers.</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06</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Systems, integrations or structured data.</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07</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Ecommerce, accounts, portals or custom workflows.</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08</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Multiple properties, regions or languages; specialist operating requirements.</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Appendix A</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Targeted RFQ clarifications prepared by Emote for this project.</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Return and next step</w:t>
            </w:r>
          </w:p>
        </w:tc>
        <w:tc>
          <w:tcPr>
            <w:tcW w:type="dxa" w:w="737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Supporting records and outstanding information.</w:t>
            </w:r>
          </w:p>
        </w:tc>
      </w:tr>
    </w:tbl>
    <w:p>
      <w:pPr>
        <w:spacing w:after="40"/>
      </w:pPr>
      <w:r/>
    </w:p>
    <w:p>
      <w:pPr>
        <w:pStyle w:val="Heading2"/>
      </w:pPr>
      <w:r>
        <w:t>Information first, then the right engagement.</w:t>
      </w:r>
    </w:p>
    <w:p>
      <w:r>
        <w:t>The answers help Emote assess the commercial scope and dependencies. Fixed pricing is considered only for sufficiently defined and verified components with clear quantities, responsibilities and acceptance criteria. Indicative ranges may be appropriate where assumptions remain. Material unknowns require paid Discovery or technical validation before fixed pricing can be confirmed.</w:t>
      </w:r>
    </w:p>
    <w:p>
      <w:r>
        <w:t>Emote also offers Complex Website Discovery. This is a paid engagement in which Emote leads workshops, reviews existing systems and integration requirements, and prepares a documented functional, technical and delivery plan with your team and vendors. The Discovery fee is quoted at scoping and paid before commencement. Implementation is scoped and priced separately; Discovery is not credited unless expressly agreed in writing.</w:t>
      </w:r>
    </w:p>
    <w:p>
      <w:pPr>
        <w:pStyle w:val="Hint"/>
      </w:pPr>
      <w:r>
        <w:t>If you would prefer Emote to lead requirements definition, request the Discovery service proposal. Completing this brief first can still reveal areas requiring paid investigation. It does not include an audit, solution design, wireframes, migration plan or implementation blueprint.</w:t>
      </w:r>
    </w:p>
    <w:p>
      <w:pPr>
        <w:pStyle w:val="Eyebrow"/>
        <w:pageBreakBefore/>
      </w:pPr>
      <w:r>
        <w:t>01 | BUSINESS AND AUDIENCES</w:t>
      </w:r>
    </w:p>
    <w:p>
      <w:pPr>
        <w:pStyle w:val="Heading1"/>
      </w:pPr>
      <w:r>
        <w:t>Define the intended outcome.</w:t>
      </w:r>
    </w:p>
    <w:p>
      <w:pPr>
        <w:pStyle w:val="Heading2"/>
        <w:spacing w:before="160" w:after="60"/>
      </w:pPr>
      <w:r>
        <w:t>Describe the organisation, business model and reason for the project.</w:t>
      </w:r>
    </w:p>
    <w:p>
      <w:pPr>
        <w:pStyle w:val="Hint"/>
        <w:keepNext/>
      </w:pPr>
      <w:r>
        <w:t>Include current sites, products or services, markets and what should change. Explain whether this is a new build, evolution, redesign, consolidation or platform migration.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3118"/>
        <w:gridCol w:w="3685"/>
        <w:gridCol w:w="2835"/>
      </w:tblGrid>
      <w:tr>
        <w:trPr>
          <w:tblHeader/>
          <w:cantSplit/>
        </w:trPr>
        <w:tc>
          <w:tcPr>
            <w:tcW w:type="dxa" w:w="311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Priority / outcome</w:t>
            </w:r>
          </w:p>
        </w:tc>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Baseline and target</w:t>
            </w:r>
          </w:p>
        </w:tc>
        <w:tc>
          <w:tcPr>
            <w:tcW w:type="dxa" w:w="283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Evidence / owner</w:t>
            </w:r>
          </w:p>
        </w:tc>
      </w:tr>
      <w:tr>
        <w:trPr>
          <w:cantSplit/>
        </w:trPr>
        <w:tc>
          <w:tcPr>
            <w:tcW w:type="dxa" w:w="311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[Measure and reporting period.]</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[Source and owner.]</w:t>
            </w:r>
          </w:p>
        </w:tc>
      </w:tr>
      <w:tr>
        <w:trPr>
          <w:cantSplit/>
        </w:trPr>
        <w:tc>
          <w:tcPr>
            <w:tcW w:type="dxa" w:w="311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[Measure and reporting period.]</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[Source and owner.]</w:t>
            </w:r>
          </w:p>
        </w:tc>
      </w:tr>
      <w:tr>
        <w:trPr>
          <w:cantSplit/>
        </w:trPr>
        <w:tc>
          <w:tcPr>
            <w:tcW w:type="dxa" w:w="311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[Measure and reporting period.]</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[Source and owner.]</w:t>
            </w:r>
          </w:p>
        </w:tc>
      </w:tr>
    </w:tbl>
    <w:p>
      <w:pPr>
        <w:spacing w:after="40"/>
      </w:pPr>
      <w:r/>
    </w:p>
    <w:tbl>
      <w:tblPr>
        <w:tblW w:type="auto" w:w="0"/>
        <w:jc w:val="center"/>
        <w:tblLayout w:type="fixed"/>
        <w:tblLook w:firstColumn="1" w:firstRow="1" w:lastColumn="0" w:lastRow="0" w:noHBand="0" w:noVBand="1" w:val="04A0"/>
      </w:tblPr>
      <w:tblGrid>
        <w:gridCol w:w="2551"/>
        <w:gridCol w:w="3685"/>
        <w:gridCol w:w="3402"/>
      </w:tblGrid>
      <w:tr>
        <w:trPr>
          <w:tblHeader/>
          <w:cantSplit/>
        </w:trPr>
        <w:tc>
          <w:tcPr>
            <w:tcW w:type="dxa" w:w="255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Audience / role</w:t>
            </w:r>
          </w:p>
        </w:tc>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Tasks and desired actions</w:t>
            </w:r>
          </w:p>
        </w:tc>
        <w:tc>
          <w:tcPr>
            <w:tcW w:type="dxa" w:w="340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Needs / barriers</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[User group.]</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[Journey or action.]</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accessibility, language or practical needs.]</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[User group.]</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[Journey or action.]</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accessibility, language or practical needs.]</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[User group.]</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[Journey or action.]</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accessibility, language or practical needs.]</w:t>
            </w:r>
          </w:p>
        </w:tc>
      </w:tr>
    </w:tbl>
    <w:p>
      <w:pPr>
        <w:spacing w:after="40"/>
      </w:pPr>
      <w:r/>
    </w:p>
    <w:p>
      <w:pPr>
        <w:pStyle w:val="Heading2"/>
        <w:spacing w:before="160" w:after="60"/>
      </w:pPr>
      <w:r>
        <w:t>What must improve in the first year and over the longer term?</w:t>
      </w:r>
    </w:p>
    <w:p>
      <w:pPr>
        <w:pStyle w:val="Hint"/>
        <w:keepNext/>
      </w:pPr>
      <w:r>
        <w:t>Identify priority journeys and the commercial consequences of leaving the present situation unchanged.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02 | CURRENT STATE AND QUANTITIES</w:t>
      </w:r>
    </w:p>
    <w:p>
      <w:pPr>
        <w:pStyle w:val="Heading1"/>
      </w:pPr>
      <w:r>
        <w:t>Establish the starting point.</w:t>
      </w:r>
    </w:p>
    <w:p>
      <w:pPr>
        <w:pStyle w:val="Heading2"/>
        <w:spacing w:before="160" w:after="60"/>
      </w:pPr>
      <w:r>
        <w:t>What exists today, and why change it?</w:t>
      </w:r>
    </w:p>
    <w:p>
      <w:pPr>
        <w:pStyle w:val="Hint"/>
        <w:keepNext/>
      </w:pPr>
      <w:r>
        <w:t>Provide URLs, CMS/platform versions if known, host, support provider and owners of domain, DNS, analytics and technical access. Describe what works, known defects, limitations and ownership/licensing concerns.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3685"/>
        <w:gridCol w:w="1587"/>
        <w:gridCol w:w="1587"/>
        <w:gridCol w:w="2778"/>
      </w:tblGrid>
      <w:tr>
        <w:trPr>
          <w:tblHeader/>
          <w:cantSplit/>
        </w:trPr>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Scope measure</w:t>
            </w:r>
          </w:p>
        </w:tc>
        <w:tc>
          <w:tcPr>
            <w:tcW w:type="dxa" w:w="1587"/>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Current</w:t>
            </w:r>
          </w:p>
        </w:tc>
        <w:tc>
          <w:tcPr>
            <w:tcW w:type="dxa" w:w="1587"/>
            <w:shd w:fill="DCEDE6"/>
            <w:tcMar>
              <w:top w:w="80" w:type="dxa"/>
              <w:left w:w="80" w:type="dxa"/>
              <w:bottom w:w="80" w:type="dxa"/>
              <w:right w:w="80" w:type="dxa"/>
            </w:tcMar>
            <w:tcBorders>
              <w:bottom w:val="single" w:sz="4" w:color="E0E0DC"/>
            </w:tcBorders>
          </w:tcPr>
          <w:p>
            <w:r>
              <w:rPr>
                <w:rFonts w:ascii="Apercu" w:hAnsi="Apercu" w:eastAsia="Apercu"/>
                <w:b/>
                <w:color w:val="191919"/>
                <w:sz w:val="18"/>
              </w:rPr>
              <w:t>Launch</w:t>
            </w:r>
          </w:p>
        </w:tc>
        <w:tc>
          <w:tcPr>
            <w:tcW w:type="dxa" w:w="277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Later / notes</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Total content pages</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277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[Notes.]</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Distinct page templates</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277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[Notes.]</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Articles, profiles, locations or resources</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277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[Notes.]</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Products, variants or other records</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277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[Notes.]</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Downloads, media and assets</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1587"/>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[Count.]</w:t>
            </w:r>
          </w:p>
        </w:tc>
        <w:tc>
          <w:tcPr>
            <w:tcW w:type="dxa" w:w="277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[Notes.]</w:t>
            </w:r>
          </w:p>
        </w:tc>
      </w:tr>
    </w:tbl>
    <w:p>
      <w:pPr>
        <w:spacing w:after="40"/>
      </w:pPr>
      <w:r/>
    </w:p>
    <w:p>
      <w:pPr>
        <w:pStyle w:val="Heading2"/>
        <w:spacing w:before="160" w:after="60"/>
      </w:pPr>
      <w:r>
        <w:t>Which sections, content and functions must be retained?</w:t>
      </w:r>
    </w:p>
    <w:p>
      <w:pPr>
        <w:pStyle w:val="Hint"/>
        <w:keepNext/>
      </w:pPr>
      <w:r>
        <w:t>Reference a sitemap or inventory where available. Distinguish new, retained, rewritten and retired material.</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is required at launch, deferred or excluded?</w:t>
      </w:r>
    </w:p>
    <w:p>
      <w:pPr>
        <w:pStyle w:val="Hint"/>
        <w:keepNext/>
      </w:pPr>
      <w:r>
        <w:t>Include dependencies that could prevent a launch requirement being delivered.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03 | EXPERIENCE, CONTENT AND FUNCTIONS</w:t>
      </w:r>
    </w:p>
    <w:p>
      <w:pPr>
        <w:pStyle w:val="Heading1"/>
      </w:pPr>
      <w:r>
        <w:t>Make the requirements specific.</w:t>
      </w:r>
    </w:p>
    <w:p>
      <w:pPr>
        <w:pStyle w:val="Heading2"/>
        <w:spacing w:before="160" w:after="60"/>
      </w:pPr>
      <w:r>
        <w:t>What design direction and assets are approved?</w:t>
      </w:r>
    </w:p>
    <w:p>
      <w:pPr>
        <w:pStyle w:val="Hint"/>
        <w:keepNext/>
      </w:pPr>
      <w:r>
        <w:t>Describe brand readiness, tone, desired experience and reference sites. List available guidelines, logos, images, video, proof and legal content.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2721"/>
        <w:gridCol w:w="3231"/>
        <w:gridCol w:w="3685"/>
      </w:tblGrid>
      <w:tr>
        <w:trPr>
          <w:tblHeader/>
          <w:cantSplit/>
        </w:trPr>
        <w:tc>
          <w:tcPr>
            <w:tcW w:type="dxa" w:w="272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Content / asset</w:t>
            </w:r>
          </w:p>
        </w:tc>
        <w:tc>
          <w:tcPr>
            <w:tcW w:type="dxa" w:w="323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Quantity and status</w:t>
            </w:r>
          </w:p>
        </w:tc>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Create / approve / populate owner</w:t>
            </w:r>
          </w:p>
        </w:tc>
      </w:tr>
      <w:tr>
        <w:trPr>
          <w:cantSplit/>
        </w:trPr>
        <w:tc>
          <w:tcPr>
            <w:tcW w:type="dxa" w:w="272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type.]</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[Available, rewrite or new; quantity and due date.]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[Client, Emote or supplier responsibilities.]</w:t>
            </w:r>
          </w:p>
        </w:tc>
      </w:tr>
      <w:tr>
        <w:trPr>
          <w:cantSplit/>
        </w:trPr>
        <w:tc>
          <w:tcPr>
            <w:tcW w:type="dxa" w:w="272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type.]</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[Available, rewrite or new; quantity and due date.]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[Client, Emote or supplier responsibilities.]</w:t>
            </w:r>
          </w:p>
        </w:tc>
      </w:tr>
      <w:tr>
        <w:trPr>
          <w:cantSplit/>
        </w:trPr>
        <w:tc>
          <w:tcPr>
            <w:tcW w:type="dxa" w:w="272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type.]</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[Available, rewrite or new; quantity and due date.]</w:t>
            </w:r>
          </w:p>
        </w:tc>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[Client, Emote or supplier responsibilities.]</w:t>
            </w:r>
          </w:p>
        </w:tc>
      </w:tr>
    </w:tbl>
    <w:p>
      <w:pPr>
        <w:spacing w:after="40"/>
      </w:pPr>
      <w:r/>
    </w:p>
    <w:tbl>
      <w:tblPr>
        <w:tblW w:type="auto" w:w="0"/>
        <w:jc w:val="center"/>
        <w:tblLayout w:type="fixed"/>
        <w:tblLook w:firstColumn="1" w:firstRow="1" w:lastColumn="0" w:lastRow="0" w:noHBand="0" w:noVBand="1" w:val="04A0"/>
      </w:tblPr>
      <w:tblGrid>
        <w:gridCol w:w="2551"/>
        <w:gridCol w:w="4649"/>
        <w:gridCol w:w="2438"/>
      </w:tblGrid>
      <w:tr>
        <w:trPr>
          <w:tblHeader/>
          <w:cantSplit/>
        </w:trPr>
        <w:tc>
          <w:tcPr>
            <w:tcW w:type="dxa" w:w="255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Function / form / journey</w:t>
            </w:r>
          </w:p>
        </w:tc>
        <w:tc>
          <w:tcPr>
            <w:tcW w:type="dxa" w:w="4649"/>
            <w:shd w:fill="DCEDE6"/>
            <w:tcMar>
              <w:top w:w="80" w:type="dxa"/>
              <w:left w:w="80" w:type="dxa"/>
              <w:bottom w:w="80" w:type="dxa"/>
              <w:right w:w="80" w:type="dxa"/>
            </w:tcMar>
            <w:tcBorders>
              <w:bottom w:val="single" w:sz="4" w:color="E0E0DC"/>
            </w:tcBorders>
          </w:tcPr>
          <w:p>
            <w:r>
              <w:rPr>
                <w:rFonts w:ascii="Apercu" w:hAnsi="Apercu" w:eastAsia="Apercu"/>
                <w:b/>
                <w:color w:val="191919"/>
                <w:sz w:val="18"/>
              </w:rPr>
              <w:t>Required behaviour and exceptions</w:t>
            </w:r>
          </w:p>
        </w:tc>
        <w:tc>
          <w:tcPr>
            <w:tcW w:type="dxa" w:w="243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Priority / evidence</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[Capability or task.]</w:t>
            </w:r>
          </w:p>
        </w:tc>
        <w:tc>
          <w:tcPr>
            <w:tcW w:type="dxa" w:w="4649"/>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[Fields, rules, routing, success, error and administration.]</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[Launch/later; source.]</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[Capability or task.]</w:t>
            </w:r>
          </w:p>
        </w:tc>
        <w:tc>
          <w:tcPr>
            <w:tcW w:type="dxa" w:w="4649"/>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[Fields, rules, routing, success, error and administration.]</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[Launch/later; source.]</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[Capability or task.]</w:t>
            </w:r>
          </w:p>
        </w:tc>
        <w:tc>
          <w:tcPr>
            <w:tcW w:type="dxa" w:w="4649"/>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[Fields, rules, routing, success, error and administration.]</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[Launch/later; source.]</w:t>
            </w:r>
          </w:p>
        </w:tc>
      </w:tr>
    </w:tbl>
    <w:p>
      <w:pPr>
        <w:spacing w:after="40"/>
      </w:pPr>
      <w:r/>
    </w:p>
    <w:p>
      <w:pPr>
        <w:pStyle w:val="Heading2"/>
        <w:spacing w:before="160" w:after="60"/>
      </w:pPr>
      <w:r>
        <w:t>Who edits, administers and supports the platform?</w:t>
      </w:r>
    </w:p>
    <w:p>
      <w:pPr>
        <w:pStyle w:val="Hint"/>
        <w:keepNext/>
      </w:pPr>
      <w:r>
        <w:t>State roles, permissions, approval workflows and training needs. Avoid assuming every role has the same access.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04 | GOVERNANCE AND INVESTMENT</w:t>
      </w:r>
    </w:p>
    <w:p>
      <w:pPr>
        <w:pStyle w:val="Heading1"/>
      </w:pPr>
      <w:r>
        <w:t>Confirm ownership and constraints.</w:t>
      </w:r>
    </w:p>
    <w:tbl>
      <w:tblPr>
        <w:tblW w:type="auto" w:w="0"/>
        <w:jc w:val="center"/>
        <w:tblLayout w:type="fixed"/>
        <w:tblLook w:firstColumn="1" w:firstRow="1" w:lastColumn="0" w:lastRow="0" w:noHBand="0" w:noVBand="1" w:val="04A0"/>
      </w:tblPr>
      <w:tblGrid>
        <w:gridCol w:w="4252"/>
        <w:gridCol w:w="5386"/>
      </w:tblGrid>
      <w:tr>
        <w:trPr>
          <w:tblHeader/>
          <w:cantSplit/>
        </w:trPr>
        <w:tc>
          <w:tcPr>
            <w:tcW w:type="dxa" w:w="425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Responsibility</w:t>
            </w:r>
          </w:p>
        </w:tc>
        <w:tc>
          <w:tcPr>
            <w:tcW w:type="dxa" w:w="5386"/>
            <w:shd w:fill="DCEDE6"/>
            <w:tcMar>
              <w:top w:w="80" w:type="dxa"/>
              <w:left w:w="80" w:type="dxa"/>
              <w:bottom w:w="80" w:type="dxa"/>
              <w:right w:w="80" w:type="dxa"/>
            </w:tcMar>
            <w:tcBorders>
              <w:bottom w:val="single" w:sz="4" w:color="E0E0DC"/>
            </w:tcBorders>
          </w:tcPr>
          <w:p>
            <w:r>
              <w:rPr>
                <w:rFonts w:ascii="Apercu" w:hAnsi="Apercu" w:eastAsia="Apercu"/>
                <w:b/>
                <w:color w:val="191919"/>
                <w:sz w:val="18"/>
              </w:rPr>
              <w:t>Name / role / availability</w:t>
            </w:r>
          </w:p>
        </w:tc>
      </w:tr>
      <w:tr>
        <w:trPr>
          <w:cantSplit/>
        </w:trPr>
        <w:tc>
          <w:tcPr>
            <w:tcW w:type="dxa" w:w="425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Sponsor and final decision-maker</w:t>
            </w:r>
          </w:p>
        </w:tc>
        <w:tc>
          <w:tcPr>
            <w:tcW w:type="dxa" w:w="5386"/>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w:t>
            </w:r>
          </w:p>
        </w:tc>
      </w:tr>
      <w:tr>
        <w:trPr>
          <w:cantSplit/>
        </w:trPr>
        <w:tc>
          <w:tcPr>
            <w:tcW w:type="dxa" w:w="425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Project / budget / procurement owner</w:t>
            </w:r>
          </w:p>
        </w:tc>
        <w:tc>
          <w:tcPr>
            <w:tcW w:type="dxa" w:w="5386"/>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w:t>
            </w:r>
          </w:p>
        </w:tc>
      </w:tr>
      <w:tr>
        <w:trPr>
          <w:cantSplit/>
        </w:trPr>
        <w:tc>
          <w:tcPr>
            <w:tcW w:type="dxa" w:w="425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Content / technology / vendor owners</w:t>
            </w:r>
          </w:p>
        </w:tc>
        <w:tc>
          <w:tcPr>
            <w:tcW w:type="dxa" w:w="5386"/>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w:t>
            </w:r>
          </w:p>
        </w:tc>
      </w:tr>
      <w:tr>
        <w:trPr>
          <w:cantSplit/>
        </w:trPr>
        <w:tc>
          <w:tcPr>
            <w:tcW w:type="dxa" w:w="425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Legal / security / specialist approvers</w:t>
            </w:r>
          </w:p>
        </w:tc>
        <w:tc>
          <w:tcPr>
            <w:tcW w:type="dxa" w:w="5386"/>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 or Not applicable.]</w:t>
            </w:r>
          </w:p>
        </w:tc>
      </w:tr>
    </w:tbl>
    <w:p>
      <w:pPr>
        <w:spacing w:after="40"/>
      </w:pPr>
      <w:r/>
    </w:p>
    <w:p>
      <w:pPr>
        <w:pStyle w:val="Heading2"/>
        <w:spacing w:before="160" w:after="60"/>
      </w:pPr>
      <w:r>
        <w:t>What investment range has been allowed?</w:t>
      </w:r>
    </w:p>
    <w:p>
      <w:pPr>
        <w:pStyle w:val="Hint"/>
        <w:keepNext/>
      </w:pPr>
      <w:r>
        <w:t>State approved or provisional budget. Separate implementation, Discovery, content/creative, migration, licences, hosting, support and marketing where known.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dates and procurement rules apply?</w:t>
      </w:r>
    </w:p>
    <w:p>
      <w:pPr>
        <w:pStyle w:val="Hint"/>
        <w:keepNext/>
      </w:pPr>
      <w:r>
        <w:t>Provide clarification, response, decision and launch dates; time zones; reasons for fixed dates; selection criteria; approval steps; incumbent obligations and vendor dependencies.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will decisions and feedback be consolidated?</w:t>
      </w:r>
    </w:p>
    <w:p>
      <w:pPr>
        <w:pStyle w:val="Hint"/>
        <w:keepNext/>
      </w:pPr>
      <w:r>
        <w:t>Identify the final approver, review timeframes, internal capacity and who resolves conflicting stakeholder priorities.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05 | SEARCH, MEASUREMENT AND OPERATIONS</w:t>
      </w:r>
    </w:p>
    <w:p>
      <w:pPr>
        <w:pStyle w:val="Heading1"/>
      </w:pPr>
      <w:r>
        <w:t>Protect what matters after launch.</w:t>
      </w:r>
    </w:p>
    <w:p>
      <w:pPr>
        <w:pStyle w:val="Heading2"/>
        <w:spacing w:before="160" w:after="60"/>
      </w:pPr>
      <w:r>
        <w:t>What search visibility and content must be protected?</w:t>
      </w:r>
    </w:p>
    <w:p>
      <w:pPr>
        <w:pStyle w:val="Hint"/>
        <w:keepNext/>
      </w:pPr>
      <w:r>
        <w:t>List material organic traffic, valuable URLs, current reports, planned domain or structure changes and the owner of Search Console or equivalent records.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must be measured?</w:t>
      </w:r>
    </w:p>
    <w:p>
      <w:pPr>
        <w:pStyle w:val="Hint"/>
        <w:keepNext/>
      </w:pPr>
      <w:r>
        <w:t>List analytics platforms, primary conversions, ecommerce/revenue events, advertising tracking, consent tools, reporting needs, known discrepancies and access owners. Include current traffic and peak demand if known.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operating requirements are already documented?</w:t>
      </w:r>
    </w:p>
    <w:p>
      <w:pPr>
        <w:pStyle w:val="Hint"/>
        <w:keepNext/>
      </w:pPr>
      <w:r>
        <w:t>Identify performance, availability, recovery, security, privacy, accessibility, residency and regulatory requirements. Reference policies, targets and advisers rather than asserting unverified compliance.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is needed after launch?</w:t>
      </w:r>
    </w:p>
    <w:p>
      <w:pPr>
        <w:pStyle w:val="Hint"/>
        <w:keepNext/>
      </w:pPr>
      <w:r>
        <w:t>Include hosting partner coordination, maintenance, Flexible Support Hours, Retained Support Services, enhancements, content or digital marketing; name the ongoing owner.</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pPr>
      <w:r>
        <w:t>Operating boundary.</w:t>
      </w:r>
    </w:p>
    <w:p>
      <w:pPr>
        <w:pStyle w:val="Hint"/>
      </w:pPr>
      <w:r>
        <w:t>Emote does not provide hosting infrastructure. The client normally contracts and pays the host directly. Hosting, ongoing support, maintenance, enhancements, content and marketing are separately scoped unless included in the accepted proposal. The standard 30-day functional warranty from go-live covers valid failures against approved implementation scope; it does not consume support hours or cover new requirements.</w:t>
      </w:r>
    </w:p>
    <w:p>
      <w:pPr>
        <w:pStyle w:val="Eyebrow"/>
        <w:pageBreakBefore/>
      </w:pPr>
      <w:r>
        <w:t>06 | CONDITIONAL: SYSTEMS AND DATA</w:t>
      </w:r>
    </w:p>
    <w:p>
      <w:pPr>
        <w:pStyle w:val="Heading1"/>
      </w:pPr>
      <w:r>
        <w:t>Identify integration dependencies.</w:t>
      </w:r>
    </w:p>
    <w:p>
      <w:pPr>
        <w:pStyle w:val="Heading2"/>
        <w:spacing w:before="160" w:after="60"/>
      </w:pPr>
      <w:r>
        <w:t>Which platforms and systems must connect?</w:t>
      </w:r>
    </w:p>
    <w:p>
      <w:pPr>
        <w:pStyle w:val="Hint"/>
        <w:keepNext/>
      </w:pPr>
      <w:r>
        <w:t>For each, supply provider, version if known, business purpose, owner, documentation link and any mandated platform choice with its reason.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2268"/>
        <w:gridCol w:w="2835"/>
        <w:gridCol w:w="2268"/>
        <w:gridCol w:w="2268"/>
      </w:tblGrid>
      <w:tr>
        <w:trPr>
          <w:tblHeader/>
          <w:cantSplit/>
        </w:trPr>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Connection / purpose</w:t>
            </w:r>
          </w:p>
        </w:tc>
        <w:tc>
          <w:tcPr>
            <w:tcW w:type="dxa" w:w="283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Data and direction</w:t>
            </w:r>
          </w:p>
        </w:tc>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Trigger / volume / phase</w:t>
            </w:r>
          </w:p>
        </w:tc>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Evidence / owner</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[System A to B.]</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[Source of truth and exchanged records.]</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[Frequency, quantity and launch/later.]</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[API docs, access or vendor contact.]</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[System A to B.]</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[Source of truth and exchanged records.]</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[Frequency, quantity and launch/later.]</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[API docs, access or vendor contact.]</w:t>
            </w:r>
          </w:p>
        </w:tc>
      </w:tr>
    </w:tbl>
    <w:p>
      <w:pPr>
        <w:spacing w:after="40"/>
      </w:pPr>
      <w:r/>
    </w:p>
    <w:p>
      <w:pPr>
        <w:pStyle w:val="Heading2"/>
        <w:spacing w:before="160" w:after="60"/>
      </w:pPr>
      <w:r>
        <w:t>What access and vendor support are available?</w:t>
      </w:r>
    </w:p>
    <w:p>
      <w:pPr>
        <w:pStyle w:val="Hint"/>
        <w:keepNext/>
      </w:pPr>
      <w:r>
        <w:t>Confirm API entitlement, version, known limitations, test or sandbox access, vendor support and approvals. Do not supply credentials. Identify who can confirm unknown facts and by when.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2268"/>
        <w:gridCol w:w="2835"/>
        <w:gridCol w:w="2438"/>
        <w:gridCol w:w="2098"/>
      </w:tblGrid>
      <w:tr>
        <w:trPr>
          <w:tblHeader/>
          <w:cantSplit/>
        </w:trPr>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Migration item</w:t>
            </w:r>
          </w:p>
        </w:tc>
        <w:tc>
          <w:tcPr>
            <w:tcW w:type="dxa" w:w="283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Source / volume / quality</w:t>
            </w:r>
          </w:p>
        </w:tc>
        <w:tc>
          <w:tcPr>
            <w:tcW w:type="dxa" w:w="243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Continuity requirement</w:t>
            </w:r>
          </w:p>
        </w:tc>
        <w:tc>
          <w:tcPr>
            <w:tcW w:type="dxa" w:w="209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Owner / evidence</w:t>
            </w:r>
          </w:p>
        </w:tc>
      </w:tr>
      <w:tr>
        <w:trPr>
          <w:cantSplit/>
        </w:trPr>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URLs, customers, products, orders or operational records.]</w:t>
            </w:r>
          </w:p>
        </w:tc>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[Format, quantity and known issues.]</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[History, identities, passwords, tokens or other continuity need.]</w:t>
            </w:r>
          </w:p>
        </w:tc>
        <w:tc>
          <w:tcPr>
            <w:tcW w:type="dxa" w:w="209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[Documentation and responsible person.]</w:t>
            </w:r>
          </w:p>
        </w:tc>
      </w:tr>
    </w:tbl>
    <w:p>
      <w:pPr>
        <w:spacing w:after="40"/>
      </w:pPr>
      <w:r/>
    </w:p>
    <w:p>
      <w:pPr>
        <w:pStyle w:val="Heading2"/>
        <w:spacing w:before="160" w:after="60"/>
      </w:pPr>
      <w:r>
        <w:t>What migration constraints or known exceptions apply?</w:t>
      </w:r>
    </w:p>
    <w:p>
      <w:pPr>
        <w:pStyle w:val="Hint"/>
        <w:keepNext/>
      </w:pPr>
      <w:r>
        <w:t>Include retention, consent, downtime, data cleansing, vendor support, validation, cutover or rollback expectations. Describe existing requirements; Emote will scope any planning or validation needed.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07 | CONDITIONAL: TRANSACTIONS AND PORTALS</w:t>
      </w:r>
    </w:p>
    <w:p>
      <w:pPr>
        <w:pStyle w:val="Heading1"/>
      </w:pPr>
      <w:r>
        <w:t>Describe the customer and admin tasks.</w:t>
      </w:r>
    </w:p>
    <w:p>
      <w:pPr>
        <w:pStyle w:val="Heading2"/>
        <w:spacing w:before="160" w:after="60"/>
      </w:pPr>
      <w:r>
        <w:t>What commerce or payment model is required?</w:t>
      </w:r>
    </w:p>
    <w:p>
      <w:pPr>
        <w:pStyle w:val="Hint"/>
        <w:keepNext/>
      </w:pPr>
      <w:r>
        <w:t>Include B2C/B2B, subscriptions, memberships or marketplace; product/SKU/variant counts; account pricing, discounts and approvals; markets, currencies, taxes, shipping, fulfilment, returns, refunds and payment methods.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product and commercial records are ready?</w:t>
      </w:r>
    </w:p>
    <w:p>
      <w:pPr>
        <w:pStyle w:val="Hint"/>
        <w:keepNext/>
      </w:pPr>
      <w:r>
        <w:t>Identify sources and owners of product data, imagery, prices and inventory. Describe catalogue quality, payment or billing providers, and any continuity requirement for existing subscriptions or payment tokens.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2551"/>
        <w:gridCol w:w="4422"/>
        <w:gridCol w:w="2665"/>
      </w:tblGrid>
      <w:tr>
        <w:trPr>
          <w:tblHeader/>
          <w:cantSplit/>
        </w:trPr>
        <w:tc>
          <w:tcPr>
            <w:tcW w:type="dxa" w:w="255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Role / account type</w:t>
            </w:r>
          </w:p>
        </w:tc>
        <w:tc>
          <w:tcPr>
            <w:tcW w:type="dxa" w:w="442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Allowed actions and records</w:t>
            </w:r>
          </w:p>
        </w:tc>
        <w:tc>
          <w:tcPr>
            <w:tcW w:type="dxa" w:w="266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Approval / security / phase</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[Customer, staff, partner or administrator.]</w:t>
            </w:r>
          </w:p>
        </w:tc>
        <w:tc>
          <w:tcPr>
            <w:tcW w:type="dxa" w:w="442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[View, create, edit, approve, download or pay.]</w:t>
            </w:r>
          </w:p>
        </w:tc>
        <w:tc>
          <w:tcPr>
            <w:tcW w:type="dxa" w:w="266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authentication and launch/later.]</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[Customer, staff, partner or administrator.]</w:t>
            </w:r>
          </w:p>
        </w:tc>
        <w:tc>
          <w:tcPr>
            <w:tcW w:type="dxa" w:w="442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[View, create, edit, approve, download or pay.]</w:t>
            </w:r>
          </w:p>
        </w:tc>
        <w:tc>
          <w:tcPr>
            <w:tcW w:type="dxa" w:w="266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authentication and launch/later.]</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[Customer, staff, partner or administrator.]</w:t>
            </w:r>
          </w:p>
        </w:tc>
        <w:tc>
          <w:tcPr>
            <w:tcW w:type="dxa" w:w="442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[View, create, edit, approve, download or pay.]</w:t>
            </w:r>
          </w:p>
        </w:tc>
        <w:tc>
          <w:tcPr>
            <w:tcW w:type="dxa" w:w="266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[Permissions, authentication and launch/later.]</w:t>
            </w:r>
          </w:p>
        </w:tc>
      </w:tr>
    </w:tbl>
    <w:p>
      <w:pPr>
        <w:spacing w:after="40"/>
      </w:pPr>
      <w:r/>
    </w:p>
    <w:p>
      <w:pPr>
        <w:pStyle w:val="Heading2"/>
        <w:spacing w:before="160" w:after="60"/>
      </w:pPr>
      <w:r>
        <w:t>Describe the main workflow and its exceptions.</w:t>
      </w:r>
    </w:p>
    <w:p>
      <w:pPr>
        <w:pStyle w:val="Hint"/>
        <w:keepNext/>
      </w:pPr>
      <w:r>
        <w:t>Include registration, identity checks, password recovery, two-factor authentication, account changes, notifications, manual tasks, cancellations and audit requirements where relevant. Reference existing process diagrams.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08 | CONDITIONAL: MULTIPLE PROPERTIES</w:t>
      </w:r>
    </w:p>
    <w:p>
      <w:pPr>
        <w:pStyle w:val="Heading1"/>
      </w:pPr>
      <w:r>
        <w:t>Define shared and local requirements.</w:t>
      </w:r>
    </w:p>
    <w:tbl>
      <w:tblPr>
        <w:tblW w:type="auto" w:w="0"/>
        <w:jc w:val="center"/>
        <w:tblLayout w:type="fixed"/>
        <w:tblLook w:firstColumn="1" w:firstRow="1" w:lastColumn="0" w:lastRow="0" w:noHBand="0" w:noVBand="1" w:val="04A0"/>
      </w:tblPr>
      <w:tblGrid>
        <w:gridCol w:w="2551"/>
        <w:gridCol w:w="2268"/>
        <w:gridCol w:w="2948"/>
        <w:gridCol w:w="1871"/>
      </w:tblGrid>
      <w:tr>
        <w:trPr>
          <w:tblHeader/>
          <w:cantSplit/>
        </w:trPr>
        <w:tc>
          <w:tcPr>
            <w:tcW w:type="dxa" w:w="255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Property / market</w:t>
            </w:r>
          </w:p>
        </w:tc>
        <w:tc>
          <w:tcPr>
            <w:tcW w:type="dxa" w:w="226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Language / currency</w:t>
            </w:r>
          </w:p>
        </w:tc>
        <w:tc>
          <w:tcPr>
            <w:tcW w:type="dxa" w:w="294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Shared or unique</w:t>
            </w:r>
          </w:p>
        </w:tc>
        <w:tc>
          <w:tcPr>
            <w:tcW w:type="dxa" w:w="187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Owner / phase</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[Brand, site, region or domain.]</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[Requirements.]</w:t>
            </w:r>
          </w:p>
        </w:tc>
        <w:tc>
          <w:tcPr>
            <w:tcW w:type="dxa" w:w="294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functions, data and accounts.]</w:t>
            </w:r>
          </w:p>
        </w:tc>
        <w:tc>
          <w:tcPr>
            <w:tcW w:type="dxa" w:w="187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 and launch/later.]</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[Brand, site, region or domain.]</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[Requirements.]</w:t>
            </w:r>
          </w:p>
        </w:tc>
        <w:tc>
          <w:tcPr>
            <w:tcW w:type="dxa" w:w="294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functions, data and accounts.]</w:t>
            </w:r>
          </w:p>
        </w:tc>
        <w:tc>
          <w:tcPr>
            <w:tcW w:type="dxa" w:w="187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 and launch/later.]</w:t>
            </w:r>
          </w:p>
        </w:tc>
      </w:tr>
      <w:tr>
        <w:trPr>
          <w:cantSplit/>
        </w:trPr>
        <w:tc>
          <w:tcPr>
            <w:tcW w:type="dxa" w:w="255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[Brand, site, region or domain.]</w:t>
            </w:r>
          </w:p>
        </w:tc>
        <w:tc>
          <w:tcPr>
            <w:tcW w:type="dxa" w:w="226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[Requirements.]</w:t>
            </w:r>
          </w:p>
        </w:tc>
        <w:tc>
          <w:tcPr>
            <w:tcW w:type="dxa" w:w="294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[Content, functions, data and accounts.]</w:t>
            </w:r>
          </w:p>
        </w:tc>
        <w:tc>
          <w:tcPr>
            <w:tcW w:type="dxa" w:w="187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 and launch/later.]</w:t>
            </w:r>
          </w:p>
        </w:tc>
      </w:tr>
    </w:tbl>
    <w:p>
      <w:pPr>
        <w:spacing w:after="40"/>
      </w:pPr>
      <w:r/>
    </w:p>
    <w:p>
      <w:pPr>
        <w:pStyle w:val="Heading2"/>
        <w:spacing w:before="160" w:after="60"/>
      </w:pPr>
      <w:r>
        <w:t>How do central and local teams work together?</w:t>
      </w:r>
    </w:p>
    <w:p>
      <w:pPr>
        <w:pStyle w:val="Hint"/>
        <w:keepNext/>
      </w:pPr>
      <w:r>
        <w:t>Describe publishing rights, localisation, translation ownership, local approvals, routing of enquiries/orders and consolidated or separate reporting.</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must operate across properties?</w:t>
      </w:r>
    </w:p>
    <w:p>
      <w:pPr>
        <w:pStyle w:val="Hint"/>
        <w:keepNext/>
      </w:pPr>
      <w:r>
        <w:t>Include search, account access, catalogues, shared components, integrations and any requirement to keep data or businesses separate.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Which specialist constraints need further evidence?</w:t>
      </w:r>
    </w:p>
    <w:p>
      <w:pPr>
        <w:pStyle w:val="Hint"/>
        <w:keepNext/>
      </w:pPr>
      <w:r>
        <w:t>Provide the standard/policy, applicable property or workflow, measurable expectation, evidence and approval owner. Include browser/device/network constraints or specialist validation if relevant.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APPENDIX A | PROJECT-SPECIFIC RFQ CLARIFICATIONS</w:t>
      </w:r>
    </w:p>
    <w:p>
      <w:pPr>
        <w:pStyle w:val="Heading1"/>
      </w:pPr>
      <w:r>
        <w:t>Resolve the remaining questions.</w:t>
      </w:r>
    </w:p>
    <w:p>
      <w:r>
        <w:t>Emote will select the questions needed for this project and reference the supplied RFQ. Answer each issued question or identify the outstanding fact, responsible person and expected confirmation date. Existing documentation can be referenced instead of repeated.</w:t>
      </w:r>
    </w:p>
    <w:tbl>
      <w:tblPr>
        <w:tblW w:type="auto" w:w="0"/>
        <w:jc w:val="center"/>
        <w:tblLayout w:type="fixed"/>
        <w:tblLook w:firstColumn="1" w:firstRow="1" w:lastColumn="0" w:lastRow="0" w:noHBand="0" w:noVBand="1" w:val="04A0"/>
      </w:tblPr>
      <w:tblGrid>
        <w:gridCol w:w="4252"/>
        <w:gridCol w:w="5386"/>
      </w:tblGrid>
      <w:tr>
        <w:trPr>
          <w:tblHeader/>
          <w:cantSplit/>
        </w:trPr>
        <w:tc>
          <w:tcPr>
            <w:tcW w:type="dxa" w:w="425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RFQ / source document</w:t>
            </w:r>
          </w:p>
        </w:tc>
        <w:tc>
          <w:tcPr>
            <w:tcW w:type="dxa" w:w="5386"/>
            <w:shd w:fill="DCEDE6"/>
            <w:tcMar>
              <w:top w:w="80" w:type="dxa"/>
              <w:left w:w="80" w:type="dxa"/>
              <w:bottom w:w="80" w:type="dxa"/>
              <w:right w:w="80" w:type="dxa"/>
            </w:tcMar>
            <w:tcBorders>
              <w:bottom w:val="single" w:sz="4" w:color="E0E0DC"/>
            </w:tcBorders>
          </w:tcPr>
          <w:p>
            <w:r>
              <w:rPr>
                <w:rFonts w:ascii="Apercu" w:hAnsi="Apercu" w:eastAsia="Apercu"/>
                <w:b/>
                <w:color w:val="191919"/>
                <w:sz w:val="18"/>
              </w:rPr>
              <w:t>Version / date / reference</w:t>
            </w:r>
          </w:p>
        </w:tc>
      </w:tr>
      <w:tr>
        <w:trPr>
          <w:cantSplit/>
        </w:trPr>
        <w:tc>
          <w:tcPr>
            <w:tcW w:type="dxa" w:w="425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[Document name.]</w:t>
            </w:r>
          </w:p>
        </w:tc>
        <w:tc>
          <w:tcPr>
            <w:tcW w:type="dxa" w:w="5386"/>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[Version, date and location.]</w:t>
            </w:r>
          </w:p>
        </w:tc>
      </w:tr>
    </w:tbl>
    <w:p>
      <w:pPr>
        <w:spacing w:after="40"/>
      </w:pPr>
      <w:r/>
    </w:p>
    <w:p>
      <w:pPr>
        <w:pStyle w:val="Heading2"/>
      </w:pPr>
      <w:r>
        <w:t>A01. [Emote to insert the clarification question.]</w:t>
      </w:r>
    </w:p>
    <w:tbl>
      <w:tblPr>
        <w:tblW w:type="auto" w:w="0"/>
        <w:jc w:val="center"/>
        <w:tblLayout w:type="fixed"/>
        <w:tblLook w:firstColumn="1" w:firstRow="1" w:lastColumn="0" w:lastRow="0" w:noHBand="0" w:noVBand="1" w:val="04A0"/>
      </w:tblPr>
      <w:tblGrid>
        <w:gridCol w:w="3685"/>
        <w:gridCol w:w="5953"/>
      </w:tblGrid>
      <w:tr>
        <w:trPr>
          <w:tblHeader/>
          <w:cantSplit/>
        </w:trPr>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Clarification record</w:t>
            </w:r>
          </w:p>
        </w:tc>
        <w:tc>
          <w:tcPr>
            <w:tcW w:type="dxa" w:w="5953"/>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Complete or reference evidence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RFQ reference / decision affected</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[Section and pricing or delivery dependency.]</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Client response / supporting source</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[Known answer and document/version reference.]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Unknown item / owner / confirmation date</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 or None.]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Status</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[Answered / Evidence pending / Recommendation requested / Not applicable.]</w:t>
            </w:r>
          </w:p>
        </w:tc>
      </w:tr>
    </w:tbl>
    <w:p>
      <w:pPr>
        <w:spacing w:after="40"/>
      </w:pPr>
      <w:r/>
    </w:p>
    <w:p>
      <w:pPr>
        <w:pStyle w:val="Heading2"/>
      </w:pPr>
      <w:r>
        <w:t>A02. [Emote to insert the clarification question.]</w:t>
      </w:r>
    </w:p>
    <w:tbl>
      <w:tblPr>
        <w:tblW w:type="auto" w:w="0"/>
        <w:jc w:val="center"/>
        <w:tblLayout w:type="fixed"/>
        <w:tblLook w:firstColumn="1" w:firstRow="1" w:lastColumn="0" w:lastRow="0" w:noHBand="0" w:noVBand="1" w:val="04A0"/>
      </w:tblPr>
      <w:tblGrid>
        <w:gridCol w:w="3685"/>
        <w:gridCol w:w="5953"/>
      </w:tblGrid>
      <w:tr>
        <w:trPr>
          <w:tblHeader/>
          <w:cantSplit/>
        </w:trPr>
        <w:tc>
          <w:tcPr>
            <w:tcW w:type="dxa" w:w="368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Clarification record</w:t>
            </w:r>
          </w:p>
        </w:tc>
        <w:tc>
          <w:tcPr>
            <w:tcW w:type="dxa" w:w="5953"/>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Complete or reference evidence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RFQ reference / decision affected</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[Section and pricing or delivery dependency.]</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Client response / supporting source</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[Known answer and document/version reference.]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Unknown item / owner / confirmation date</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[Details or None.]</w:t>
            </w:r>
          </w:p>
        </w:tc>
      </w:tr>
      <w:tr>
        <w:trPr>
          <w:cantSplit/>
        </w:trPr>
        <w:tc>
          <w:tcPr>
            <w:tcW w:type="dxa" w:w="368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Status</w:t>
            </w:r>
          </w:p>
        </w:tc>
        <w:tc>
          <w:tcPr>
            <w:tcW w:type="dxa" w:w="5953"/>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[Answered / Evidence pending / Recommendation requested / Not applicable.]</w:t>
            </w:r>
          </w:p>
        </w:tc>
      </w:tr>
    </w:tbl>
    <w:p>
      <w:pPr>
        <w:spacing w:after="40"/>
      </w:pPr>
      <w:r/>
    </w:p>
    <w:p>
      <w:pPr>
        <w:pStyle w:val="Hint"/>
      </w:pPr>
      <w:r>
        <w:t>The issued project copy may contain more or fewer questions. Duplicate the clarification record for each material gap.</w:t>
      </w:r>
    </w:p>
    <w:p>
      <w:pPr>
        <w:pStyle w:val="Eyebrow"/>
        <w:pageBreakBefore/>
      </w:pPr>
      <w:r>
        <w:t>RETURN AND NEXT STEP</w:t>
      </w:r>
    </w:p>
    <w:p>
      <w:pPr>
        <w:pStyle w:val="Heading1"/>
      </w:pPr>
      <w:r>
        <w:t>Ready for review.</w:t>
      </w:r>
    </w:p>
    <w:p>
      <w:pPr>
        <w:pStyle w:val="Heading2"/>
        <w:spacing w:before="160" w:after="60"/>
      </w:pPr>
      <w:r>
        <w:t>Outstanding information.</w:t>
      </w:r>
    </w:p>
    <w:p>
      <w:pPr>
        <w:pStyle w:val="Hint"/>
        <w:keepNext/>
      </w:pPr>
      <w:r>
        <w:t>List each unknown, its effect on scope, the person responsible and expected confirmation date.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Supporting documents.</w:t>
      </w:r>
    </w:p>
    <w:p>
      <w:pPr>
        <w:pStyle w:val="Hint"/>
        <w:keepNext/>
      </w:pPr>
      <w:r>
        <w:t>List the title, version or date, link or reference, owner and any access restriction. Include only material relevant to the selected scope.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Anything else Emote should know?</w:t>
      </w:r>
    </w:p>
    <w:p>
      <w:pPr>
        <w:pStyle w:val="Hint"/>
        <w:keepNext/>
      </w:pPr>
      <w:r>
        <w:t>Include prior project lessons, constraints, exclusions or questions.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pPr>
      <w:r>
        <w:t>Return your completed project copy.</w:t>
      </w:r>
    </w:p>
    <w:p>
      <w:r>
        <w:t>Use the return contact and date on the cover. If Emote has supplied a shared document, enter your answers there and notify your contact when it is ready. Otherwise return the completed Word document with relevant non-sensitive supporting material.</w:t>
      </w:r>
    </w:p>
    <w:p>
      <w:r>
        <w:t>Emote will assess which components are sufficiently defined and verified for fixed pricing, which can support indicative investment ranges, and which require further investigation. Completing this brief does not automatically replace paid Discovery or technical validation.</w:t>
      </w:r>
    </w:p>
    <w:p>
      <w:pPr>
        <w:pStyle w:val="Hint"/>
      </w:pPr>
      <w:r>
        <w:t>This brief is an information-gathering document. It does not approve scope, guarantee results, fix implementation pricing or reserve delivery capacity. Scope, assumptions, exclusions, responsibilities, fees and timing are confirmed in the signed or accepted proposal.</w:t>
      </w:r>
    </w:p>
    <w:p>
      <w:hyperlink r:id="rId12">
        <w:r>
          <w:rPr>
            <w:color w:val="4B696F"/>
            <w:u w:val="single"/>
          </w:rPr>
          <w:t>Contact Emote</w:t>
        </w:r>
      </w:hyperlink>
    </w:p>
    <w:p>
      <w:hyperlink r:id="rId13">
        <w:r>
          <w:rPr>
            <w:color w:val="4B696F"/>
            <w:u w:val="single"/>
          </w:rPr>
          <w:t>Emote Privacy Policy</w:t>
        </w:r>
      </w:hyperlink>
    </w:p>
    <w:sectPr w:rsidR="00FC693F" w:rsidRPr="0006063C" w:rsidSect="00034616">
      <w:footerReference w:type="default" r:id="rId9"/>
      <w:headerReference w:type="default" r:id="rId10"/>
      <w:pgSz w:w="11906" w:h="16838"/>
      <w:pgMar w:top="1134" w:right="1134" w:bottom="1077"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percu" w:hAnsi="Apercu" w:eastAsia="Apercu"/>
        <w:b w:val="0"/>
        <w:color w:val="545454"/>
        <w:sz w:val="16"/>
      </w:rPr>
      <w:t xml:space="preserve">Emote Digital, Part of Big Picture Group   |   CWB v2.0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ercu" w:hAnsi="Apercu" w:eastAsia="Apercu"/>
        <w:b w:val="0"/>
        <w:color w:val="545454"/>
        <w:sz w:val="16"/>
      </w:rPr>
      <w:t>emotedigital.com.au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60"/>
    </w:pPr>
    <w:rPr>
      <w:rFonts w:ascii="Apercu" w:hAnsi="Apercu"/>
      <w:b w:val="0"/>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312" w:lineRule="auto"/>
      <w:outlineLvl w:val="0"/>
    </w:pPr>
    <w:rPr>
      <w:rFonts w:asciiTheme="majorHAnsi" w:eastAsiaTheme="majorEastAsia" w:hAnsiTheme="majorHAnsi" w:cstheme="majorBidi" w:ascii="Apercu" w:hAnsi="Apercu"/>
      <w:b/>
      <w:bCs/>
      <w:color w:val="191919"/>
      <w:sz w:val="48"/>
      <w:szCs w:val="28"/>
    </w:rPr>
  </w:style>
  <w:style w:type="paragraph" w:styleId="Heading2">
    <w:name w:val="heading 2"/>
    <w:basedOn w:val="Normal"/>
    <w:next w:val="Normal"/>
    <w:link w:val="Heading2Char"/>
    <w:uiPriority w:val="9"/>
    <w:unhideWhenUsed/>
    <w:qFormat/>
    <w:rsid w:val="00FC693F"/>
    <w:pPr>
      <w:keepNext/>
      <w:keepLines/>
      <w:spacing w:before="200" w:after="160" w:line="312" w:lineRule="auto"/>
      <w:outlineLvl w:val="1"/>
    </w:pPr>
    <w:rPr>
      <w:rFonts w:asciiTheme="majorHAnsi" w:eastAsiaTheme="majorEastAsia" w:hAnsiTheme="majorHAnsi" w:cstheme="majorBidi" w:ascii="Apercu" w:hAnsi="Apercu"/>
      <w:b/>
      <w:bCs/>
      <w:color w:val="19191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312" w:lineRule="auto"/>
      <w:contextualSpacing/>
    </w:pPr>
    <w:rPr>
      <w:rFonts w:asciiTheme="majorHAnsi" w:eastAsiaTheme="majorEastAsia" w:hAnsiTheme="majorHAnsi" w:cstheme="majorBidi" w:ascii="Apercu" w:hAnsi="Apercu"/>
      <w:b/>
      <w:color w:val="191919"/>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spacing w:line="312" w:lineRule="auto" w:after="100"/>
    </w:pPr>
    <w:rPr>
      <w:rFonts w:ascii="Apercu" w:hAnsi="Apercu"/>
      <w:color w:val="4B696F"/>
      <w:sz w:val="17"/>
    </w:rPr>
  </w:style>
  <w:style w:type="paragraph" w:customStyle="1" w:styleId="Hint">
    <w:name w:val="Hint"/>
    <w:pPr>
      <w:spacing w:line="312" w:lineRule="auto" w:after="100"/>
    </w:pPr>
    <w:rPr>
      <w:rFonts w:ascii="Apercu" w:hAnsi="Apercu"/>
      <w:color w:val="545454"/>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hyperlink" Target="mailto:hello@emotedigital.com.au" TargetMode="External"/><Relationship Id="rId13" Type="http://schemas.openxmlformats.org/officeDocument/2006/relationships/hyperlink" Target="https://www.emotedigital.com.a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 website project brief.</dc:title>
  <dc:subject>CLIENT PROJECT BRIEF</dc:subject>
  <dc:creator>Emote Digital</dc:creator>
  <cp:keywords/>
  <dc:description/>
  <cp:lastModifiedBy/>
  <cp:revision>1</cp:revision>
  <dcterms:created xsi:type="dcterms:W3CDTF">2013-12-23T23:15:00Z</dcterms:created>
  <dcterms:modified xsi:type="dcterms:W3CDTF">2013-12-23T23:15:00Z</dcterms:modified>
  <cp:category/>
</cp:coreProperties>
</file>